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46" w:beforeAutospacing="0" w:after="0" w:afterAutospacing="0" w:line="600" w:lineRule="exact"/>
        <w:ind w:right="0"/>
        <w:jc w:val="center"/>
        <w:textAlignment w:val="auto"/>
        <w:rPr>
          <w:rFonts w:hint="eastAsia" w:ascii="方正小标宋简体" w:hAnsi="方正小标宋简体" w:eastAsia="方正小标宋简体" w:cs="方正小标宋简体"/>
          <w:color w:val="000000" w:themeColor="text1"/>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shd w:val="clear" w:fill="FFFFFF"/>
          <w:lang w:val="en-US" w:eastAsia="zh-CN"/>
          <w14:textFill>
            <w14:solidFill>
              <w14:schemeClr w14:val="tx1"/>
            </w14:solidFill>
          </w14:textFill>
        </w:rPr>
        <w:t>靖安县退役军人事务局2023年度政府信息公开工作年度报告</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46" w:beforeAutospacing="0" w:after="0" w:afterAutospacing="0" w:line="240" w:lineRule="exact"/>
        <w:ind w:right="0" w:firstLine="620" w:firstLineChars="200"/>
        <w:jc w:val="both"/>
        <w:textAlignment w:val="auto"/>
        <w:rPr>
          <w:rFonts w:ascii="仿宋_GB2312" w:hAnsi="仿宋_GB2312" w:eastAsia="仿宋_GB2312" w:cs="仿宋_GB2312"/>
          <w:color w:val="000000" w:themeColor="text1"/>
          <w:sz w:val="31"/>
          <w:szCs w:val="31"/>
          <w:shd w:val="clear" w:fill="FFFFFF"/>
          <w14:textFill>
            <w14:solidFill>
              <w14:schemeClr w14:val="tx1"/>
            </w14:solidFill>
          </w14:textFill>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46" w:beforeAutospacing="0" w:after="0" w:afterAutospacing="0" w:line="450" w:lineRule="atLeast"/>
        <w:ind w:right="0" w:firstLine="640" w:firstLineChars="200"/>
        <w:jc w:val="both"/>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shd w:val="clear" w:fill="FFFFFF"/>
          <w14:textFill>
            <w14:solidFill>
              <w14:schemeClr w14:val="tx1"/>
            </w14:solidFill>
          </w14:textFill>
        </w:rPr>
        <w:t>本报告依据《中华人民共和国政府信息公开条例》（国务院令第711号，以下简称新《条例》）</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和</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《国务院办公厅政府信息与政务公开办公室关于印发&lt;中华人民共和国政府信息公开工作年度报告格式&gt;的通知》（国办公开办函[2021]30号）要求，由靖安县</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退役军人事务</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局结合有关统计数据编制。本年度报告中所列数据的统计期限自202</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年1月1日起至202</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年12月31日止。全文包括总体情况、主动公开政府信息情况、收到和处理政府信息公开申请情况、</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政府信息管理情况</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平台建设情况、监督保障情况、</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存在的主要问题及改进情况、其他需要报告的事项。本年度报告的电子版可以从靖安县人民政府网（http://www.jxjaxzf.gov.cn/）下载。如对本报告有任何疑问，请与靖安县</w:t>
      </w:r>
      <w:r>
        <w:rPr>
          <w:rFonts w:hint="eastAsia" w:ascii="仿宋_GB2312" w:hAnsi="仿宋_GB2312" w:eastAsia="仿宋_GB2312" w:cs="仿宋_GB2312"/>
          <w:color w:val="000000" w:themeColor="text1"/>
          <w:sz w:val="32"/>
          <w:szCs w:val="32"/>
          <w:shd w:val="clear" w:fill="FFFFFF"/>
          <w:lang w:val="en-US" w:eastAsia="zh-CN"/>
          <w14:textFill>
            <w14:solidFill>
              <w14:schemeClr w14:val="tx1"/>
            </w14:solidFill>
          </w14:textFill>
        </w:rPr>
        <w:t>退役军人事务局</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联系（地址：</w:t>
      </w:r>
      <w:r>
        <w:rPr>
          <w:rFonts w:hint="eastAsia" w:ascii="仿宋_GB2312" w:hAnsi="仿宋_GB2312" w:eastAsia="仿宋_GB2312" w:cs="仿宋_GB2312"/>
          <w:color w:val="000000" w:themeColor="text1"/>
          <w:sz w:val="32"/>
          <w:szCs w:val="32"/>
          <w14:textFill>
            <w14:solidFill>
              <w14:schemeClr w14:val="tx1"/>
            </w14:solidFill>
          </w14:textFill>
        </w:rPr>
        <w:t>江西省宜春市靖安县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石马中路20号原人力资源大厦4楼</w:t>
      </w:r>
      <w:r>
        <w:rPr>
          <w:rFonts w:hint="eastAsia" w:ascii="仿宋_GB2312" w:hAnsi="仿宋_GB2312" w:eastAsia="仿宋_GB2312" w:cs="仿宋_GB2312"/>
          <w:color w:val="000000" w:themeColor="text1"/>
          <w:sz w:val="32"/>
          <w:szCs w:val="32"/>
          <w14:textFill>
            <w14:solidFill>
              <w14:schemeClr w14:val="tx1"/>
            </w14:solidFill>
          </w14:textFill>
        </w:rPr>
        <w:t>，联系电话：0795—466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3028</w:t>
      </w:r>
      <w:r>
        <w:rPr>
          <w:rFonts w:hint="eastAsia" w:ascii="仿宋_GB2312" w:hAnsi="仿宋_GB2312" w:eastAsia="仿宋_GB2312" w:cs="仿宋_GB2312"/>
          <w:color w:val="000000" w:themeColor="text1"/>
          <w:sz w:val="32"/>
          <w:szCs w:val="32"/>
          <w:shd w:val="clear" w:fill="FFFFFF"/>
          <w14:textFill>
            <w14:solidFill>
              <w14:schemeClr w14:val="tx1"/>
            </w14:solidFill>
          </w14:textFill>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一、总体情况</w:t>
      </w:r>
    </w:p>
    <w:p>
      <w:pPr>
        <w:pStyle w:val="4"/>
        <w:keepNext w:val="0"/>
        <w:keepLines w:val="0"/>
        <w:pageBreakBefore w:val="0"/>
        <w:widowControl/>
        <w:suppressLineNumbers w:val="0"/>
        <w:kinsoku/>
        <w:wordWrap/>
        <w:overflowPunct/>
        <w:topLinePunct w:val="0"/>
        <w:autoSpaceDE/>
        <w:autoSpaceDN/>
        <w:bidi w:val="0"/>
        <w:adjustRightInd/>
        <w:snapToGrid/>
        <w:spacing w:before="46" w:beforeAutospacing="0" w:after="0" w:afterAutospacing="0" w:line="555" w:lineRule="atLeas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2023年</w:t>
      </w:r>
      <w:r>
        <w:rPr>
          <w:rFonts w:hint="eastAsia" w:ascii="仿宋_GB2312" w:hAnsi="仿宋_GB2312" w:eastAsia="仿宋_GB2312" w:cs="仿宋_GB2312"/>
          <w:color w:val="000000" w:themeColor="text1"/>
          <w:sz w:val="32"/>
          <w:szCs w:val="32"/>
          <w14:textFill>
            <w14:solidFill>
              <w14:schemeClr w14:val="tx1"/>
            </w14:solidFill>
          </w14:textFill>
        </w:rPr>
        <w:t>靖安</w:t>
      </w:r>
      <w:r>
        <w:rPr>
          <w:rFonts w:hint="eastAsia" w:ascii="仿宋_GB2312" w:hAnsi="仿宋_GB2312" w:eastAsia="仿宋_GB2312" w:cs="仿宋_GB2312"/>
          <w:b w:val="0"/>
          <w:bCs w:val="0"/>
          <w:color w:val="000000" w:themeColor="text1"/>
          <w:sz w:val="32"/>
          <w:szCs w:val="32"/>
          <w14:textFill>
            <w14:solidFill>
              <w14:schemeClr w14:val="tx1"/>
            </w14:solidFill>
          </w14:textFill>
        </w:rPr>
        <w:t>县退役军人</w:t>
      </w:r>
      <w:r>
        <w:rPr>
          <w:rFonts w:hint="eastAsia" w:ascii="仿宋_GB2312" w:hAnsi="仿宋_GB2312" w:eastAsia="仿宋_GB2312" w:cs="仿宋_GB2312"/>
          <w:color w:val="000000" w:themeColor="text1"/>
          <w:sz w:val="32"/>
          <w:szCs w:val="32"/>
          <w14:textFill>
            <w14:solidFill>
              <w14:schemeClr w14:val="tx1"/>
            </w14:solidFill>
          </w14:textFill>
        </w:rPr>
        <w:t>事务局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严格按照</w:t>
      </w:r>
      <w:r>
        <w:rPr>
          <w:rFonts w:hint="eastAsia" w:ascii="仿宋_GB2312" w:hAnsi="仿宋_GB2312" w:eastAsia="仿宋_GB2312" w:cs="仿宋_GB2312"/>
          <w:color w:val="000000" w:themeColor="text1"/>
          <w:sz w:val="32"/>
          <w:szCs w:val="32"/>
          <w14:textFill>
            <w14:solidFill>
              <w14:schemeClr w14:val="tx1"/>
            </w14:solidFill>
          </w14:textFill>
        </w:rPr>
        <w:t>《中华人民共和国政府信息公开条例》</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要求，以习近平新时代中国特色社会主义思想为指导，深入贯彻落实党的二十大精神，坚持依法、公开、及时、便民的原则，依法、及时、准确地公开相关退役军人事务信息，切实保障人民群众对退役军人事务工作的知情权、参与权、表达权和监督权。</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jc w:val="left"/>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主动公开情况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按照《中华人民共和国政府信息公开条例》要求，积极做好政府信息公开工作，全年共主动公开政府信息57条。其中工作指南1条，工作动态45条，政策文件4条，概况信息2条，发展规划1条，财政信息3条，政府信息公开年度报告1条。</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jc w:val="left"/>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依申请公开情况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2023年我局未收到依申请公开件。</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政府信息管理情况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2023年我局按照上级部门有关政府信息公开的文件精神严格落实政府信息公开工作流程，</w:t>
      </w:r>
      <w:r>
        <w:rPr>
          <w:rFonts w:ascii="仿宋_GB2312" w:hAnsi="宋体" w:eastAsia="仿宋_GB2312" w:cs="仿宋_GB2312"/>
          <w:b w:val="0"/>
          <w:bCs w:val="0"/>
          <w:i w:val="0"/>
          <w:iCs w:val="0"/>
          <w:caps w:val="0"/>
          <w:color w:val="000000"/>
          <w:spacing w:val="0"/>
          <w:sz w:val="32"/>
          <w:szCs w:val="32"/>
        </w:rPr>
        <w:t>严格执行</w:t>
      </w:r>
      <w:r>
        <w:rPr>
          <w:rFonts w:hint="eastAsia" w:ascii="仿宋_GB2312" w:hAnsi="宋体" w:eastAsia="仿宋_GB2312" w:cs="仿宋_GB2312"/>
          <w:b w:val="0"/>
          <w:bCs w:val="0"/>
          <w:i w:val="0"/>
          <w:iCs w:val="0"/>
          <w:caps w:val="0"/>
          <w:color w:val="000000"/>
          <w:spacing w:val="0"/>
          <w:sz w:val="32"/>
          <w:szCs w:val="32"/>
        </w:rPr>
        <w:t>“三审三校”制度，</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扎实开展政府信息公开拟稿校对、涉密审查、发布审批等工作，明确专人负责，建立台账，</w:t>
      </w:r>
      <w:r>
        <w:rPr>
          <w:rFonts w:hint="eastAsia" w:ascii="仿宋_GB2312" w:hAnsi="宋体" w:eastAsia="仿宋_GB2312" w:cs="仿宋_GB2312"/>
          <w:i w:val="0"/>
          <w:iCs w:val="0"/>
          <w:caps w:val="0"/>
          <w:color w:val="282828"/>
          <w:spacing w:val="0"/>
          <w:sz w:val="31"/>
          <w:szCs w:val="31"/>
          <w:shd w:val="clear" w:fill="FFFFFF"/>
          <w:lang w:val="en-US" w:eastAsia="zh-CN"/>
        </w:rPr>
        <w:t>确保责任落实到位</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平台建设情况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靖安县人民政府网站是我单位主要信息公开平台。我局充分利用政府网站公开相关信息和工作制度，包括：工作动态、概况信息、政策文件、发展规划、财政信息等内容，进一步拓宽群众了解我县退役军人事务信息的渠道。</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3" w:firstLineChars="200"/>
        <w:jc w:val="left"/>
        <w:textAlignment w:val="auto"/>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监督保障情况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工作考核方面，靖安县将政务公开工作纳入2023年度靖安县高质量发展考核评价，我单位积极配合考核工作。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我单位对社会评议方面采取积极态度，主动公开办公地址、联系方式、负责同志以及监督途径等信息，积极主动听取公众意见和建议。</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br w:type="textWrapping"/>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 xml:space="preserve">    责任追究结果情况方面，2023年我单位未出现因信息公开不到位需要进行责任追究的情况。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二、主动公开政府信息情况</w:t>
      </w:r>
    </w:p>
    <w:tbl>
      <w:tblPr>
        <w:tblStyle w:val="5"/>
        <w:tblW w:w="81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3113"/>
        <w:gridCol w:w="1875"/>
        <w:gridCol w:w="1271"/>
        <w:gridCol w:w="18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5" w:hRule="atLeast"/>
          <w:jc w:val="center"/>
        </w:trPr>
        <w:tc>
          <w:tcPr>
            <w:tcW w:w="8140" w:type="dxa"/>
            <w:gridSpan w:val="4"/>
            <w:tcBorders>
              <w:tl2br w:val="nil"/>
              <w:tr2bl w:val="nil"/>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第二十条第（一）项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82" w:hRule="atLeast"/>
          <w:jc w:val="center"/>
        </w:trPr>
        <w:tc>
          <w:tcPr>
            <w:tcW w:w="3113" w:type="dxa"/>
            <w:tcBorders>
              <w:tl2br w:val="nil"/>
              <w:tr2bl w:val="nil"/>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信息内容</w:t>
            </w:r>
          </w:p>
        </w:tc>
        <w:tc>
          <w:tcPr>
            <w:tcW w:w="1875" w:type="dxa"/>
            <w:tcBorders>
              <w:tl2br w:val="nil"/>
              <w:tr2bl w:val="nil"/>
            </w:tcBorders>
            <w:noWrap/>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本年</w:t>
            </w:r>
            <w:r>
              <w:rPr>
                <w:rFonts w:hint="eastAsia" w:ascii="宋体" w:hAnsi="宋体" w:eastAsia="宋体" w:cs="宋体"/>
                <w:color w:val="000000" w:themeColor="text1"/>
                <w:kern w:val="0"/>
                <w:sz w:val="22"/>
                <w:szCs w:val="22"/>
                <w:lang w:val="en-US" w:eastAsia="zh-CN"/>
                <w14:textFill>
                  <w14:solidFill>
                    <w14:schemeClr w14:val="tx1"/>
                  </w14:solidFill>
                </w14:textFill>
              </w:rPr>
              <w:t>制发件数</w:t>
            </w:r>
          </w:p>
        </w:tc>
        <w:tc>
          <w:tcPr>
            <w:tcW w:w="1271" w:type="dxa"/>
            <w:tcBorders>
              <w:tl2br w:val="nil"/>
              <w:tr2bl w:val="nil"/>
            </w:tcBorders>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本年</w:t>
            </w:r>
            <w:r>
              <w:rPr>
                <w:rFonts w:hint="eastAsia" w:ascii="宋体" w:hAnsi="宋体" w:eastAsia="宋体" w:cs="宋体"/>
                <w:color w:val="000000" w:themeColor="text1"/>
                <w:kern w:val="0"/>
                <w:sz w:val="22"/>
                <w:szCs w:val="22"/>
                <w:lang w:val="en-US" w:eastAsia="zh-CN"/>
                <w14:textFill>
                  <w14:solidFill>
                    <w14:schemeClr w14:val="tx1"/>
                  </w14:solidFill>
                </w14:textFill>
              </w:rPr>
              <w:t>废止件数</w:t>
            </w:r>
          </w:p>
        </w:tc>
        <w:tc>
          <w:tcPr>
            <w:tcW w:w="1881" w:type="dxa"/>
            <w:tcBorders>
              <w:tl2br w:val="nil"/>
              <w:tr2bl w:val="nil"/>
            </w:tcBorders>
            <w:noWrap/>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现行有效件数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3" w:hRule="atLeast"/>
          <w:jc w:val="center"/>
        </w:trPr>
        <w:tc>
          <w:tcPr>
            <w:tcW w:w="3113" w:type="dxa"/>
            <w:tcBorders>
              <w:tl2br w:val="nil"/>
              <w:tr2bl w:val="nil"/>
            </w:tcBorders>
            <w:noWrap/>
            <w:tcMar>
              <w:top w:w="0" w:type="dxa"/>
              <w:left w:w="108" w:type="dxa"/>
              <w:bottom w:w="0" w:type="dxa"/>
              <w:right w:w="108" w:type="dxa"/>
            </w:tcMar>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规章</w:t>
            </w:r>
          </w:p>
        </w:tc>
        <w:tc>
          <w:tcPr>
            <w:tcW w:w="1875" w:type="dxa"/>
            <w:tcBorders>
              <w:tl2br w:val="nil"/>
              <w:tr2bl w:val="nil"/>
            </w:tcBorders>
            <w:noWrap/>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1271" w:type="dxa"/>
            <w:tcBorders>
              <w:tl2br w:val="nil"/>
              <w:tr2bl w:val="nil"/>
            </w:tcBorders>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1881" w:type="dxa"/>
            <w:tcBorders>
              <w:tl2br w:val="nil"/>
              <w:tr2bl w:val="nil"/>
            </w:tcBorders>
            <w:noWrap/>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1" w:hRule="atLeast"/>
          <w:jc w:val="center"/>
        </w:trPr>
        <w:tc>
          <w:tcPr>
            <w:tcW w:w="3113" w:type="dxa"/>
            <w:tcBorders>
              <w:tl2br w:val="nil"/>
              <w:tr2bl w:val="nil"/>
            </w:tcBorders>
            <w:noWrap/>
            <w:tcMar>
              <w:top w:w="0" w:type="dxa"/>
              <w:left w:w="108" w:type="dxa"/>
              <w:bottom w:w="0" w:type="dxa"/>
              <w:right w:w="108" w:type="dxa"/>
            </w:tcMar>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行政</w:t>
            </w:r>
            <w:r>
              <w:rPr>
                <w:rFonts w:hint="eastAsia" w:ascii="宋体" w:hAnsi="宋体" w:eastAsia="宋体" w:cs="宋体"/>
                <w:color w:val="000000" w:themeColor="text1"/>
                <w:kern w:val="0"/>
                <w:sz w:val="22"/>
                <w:szCs w:val="22"/>
                <w14:textFill>
                  <w14:solidFill>
                    <w14:schemeClr w14:val="tx1"/>
                  </w14:solidFill>
                </w14:textFill>
              </w:rPr>
              <w:t>规范性文件</w:t>
            </w:r>
          </w:p>
        </w:tc>
        <w:tc>
          <w:tcPr>
            <w:tcW w:w="1875" w:type="dxa"/>
            <w:tcBorders>
              <w:tl2br w:val="nil"/>
              <w:tr2bl w:val="nil"/>
            </w:tcBorders>
            <w:noWrap/>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1271"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1881" w:type="dxa"/>
            <w:tcBorders>
              <w:tl2br w:val="nil"/>
              <w:tr2bl w:val="nil"/>
            </w:tcBorders>
            <w:noWrap/>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0" w:hRule="atLeast"/>
          <w:jc w:val="center"/>
        </w:trPr>
        <w:tc>
          <w:tcPr>
            <w:tcW w:w="8140" w:type="dxa"/>
            <w:gridSpan w:val="4"/>
            <w:tcBorders>
              <w:tl2br w:val="nil"/>
              <w:tr2bl w:val="nil"/>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第二十条第（五）项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2" w:hRule="atLeast"/>
          <w:jc w:val="center"/>
        </w:trPr>
        <w:tc>
          <w:tcPr>
            <w:tcW w:w="3113" w:type="dxa"/>
            <w:tcBorders>
              <w:tl2br w:val="nil"/>
              <w:tr2bl w:val="nil"/>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信息内容</w:t>
            </w:r>
          </w:p>
        </w:tc>
        <w:tc>
          <w:tcPr>
            <w:tcW w:w="5027" w:type="dxa"/>
            <w:gridSpan w:val="3"/>
            <w:tcBorders>
              <w:tl2br w:val="nil"/>
              <w:tr2bl w:val="nil"/>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处理决定数量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33" w:hRule="atLeast"/>
          <w:jc w:val="center"/>
        </w:trPr>
        <w:tc>
          <w:tcPr>
            <w:tcW w:w="3113" w:type="dxa"/>
            <w:tcBorders>
              <w:tl2br w:val="nil"/>
              <w:tr2bl w:val="nil"/>
            </w:tcBorders>
            <w:noWrap/>
            <w:tcMar>
              <w:top w:w="0" w:type="dxa"/>
              <w:left w:w="108" w:type="dxa"/>
              <w:bottom w:w="0" w:type="dxa"/>
              <w:right w:w="108" w:type="dxa"/>
            </w:tcMar>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行政许可</w:t>
            </w:r>
          </w:p>
        </w:tc>
        <w:tc>
          <w:tcPr>
            <w:tcW w:w="5027" w:type="dxa"/>
            <w:gridSpan w:val="3"/>
            <w:tcBorders>
              <w:tl2br w:val="nil"/>
              <w:tr2bl w:val="nil"/>
            </w:tcBorders>
            <w:noWrap/>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6" w:hRule="atLeast"/>
          <w:jc w:val="center"/>
        </w:trPr>
        <w:tc>
          <w:tcPr>
            <w:tcW w:w="8140" w:type="dxa"/>
            <w:gridSpan w:val="4"/>
            <w:tcBorders>
              <w:tl2br w:val="nil"/>
              <w:tr2bl w:val="nil"/>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第二十条第（六）项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34" w:hRule="atLeast"/>
          <w:jc w:val="center"/>
        </w:trPr>
        <w:tc>
          <w:tcPr>
            <w:tcW w:w="3113" w:type="dxa"/>
            <w:tcBorders>
              <w:tl2br w:val="nil"/>
              <w:tr2bl w:val="nil"/>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信息内容</w:t>
            </w:r>
          </w:p>
        </w:tc>
        <w:tc>
          <w:tcPr>
            <w:tcW w:w="5027" w:type="dxa"/>
            <w:gridSpan w:val="3"/>
            <w:tcBorders>
              <w:tl2br w:val="nil"/>
              <w:tr2bl w:val="nil"/>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本年</w:t>
            </w:r>
            <w:r>
              <w:rPr>
                <w:rFonts w:hint="eastAsia" w:ascii="宋体" w:hAnsi="宋体" w:eastAsia="宋体" w:cs="宋体"/>
                <w:color w:val="000000" w:themeColor="text1"/>
                <w:kern w:val="0"/>
                <w:sz w:val="22"/>
                <w:szCs w:val="22"/>
                <w14:textFill>
                  <w14:solidFill>
                    <w14:schemeClr w14:val="tx1"/>
                  </w14:solidFill>
                </w14:textFill>
              </w:rPr>
              <w:t>处理决定数量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30" w:hRule="atLeast"/>
          <w:jc w:val="center"/>
        </w:trPr>
        <w:tc>
          <w:tcPr>
            <w:tcW w:w="3113" w:type="dxa"/>
            <w:tcBorders>
              <w:tl2br w:val="nil"/>
              <w:tr2bl w:val="nil"/>
            </w:tcBorders>
            <w:noWrap/>
            <w:tcMar>
              <w:top w:w="0" w:type="dxa"/>
              <w:left w:w="108" w:type="dxa"/>
              <w:bottom w:w="0" w:type="dxa"/>
              <w:right w:w="108" w:type="dxa"/>
            </w:tcMar>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行政处罚</w:t>
            </w:r>
          </w:p>
        </w:tc>
        <w:tc>
          <w:tcPr>
            <w:tcW w:w="5027" w:type="dxa"/>
            <w:gridSpan w:val="3"/>
            <w:tcBorders>
              <w:tl2br w:val="nil"/>
              <w:tr2bl w:val="nil"/>
            </w:tcBorders>
            <w:noWrap/>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9" w:hRule="atLeast"/>
          <w:jc w:val="center"/>
        </w:trPr>
        <w:tc>
          <w:tcPr>
            <w:tcW w:w="3113" w:type="dxa"/>
            <w:tcBorders>
              <w:tl2br w:val="nil"/>
              <w:tr2bl w:val="nil"/>
            </w:tcBorders>
            <w:noWrap/>
            <w:tcMar>
              <w:top w:w="0" w:type="dxa"/>
              <w:left w:w="108" w:type="dxa"/>
              <w:bottom w:w="0" w:type="dxa"/>
              <w:right w:w="108" w:type="dxa"/>
            </w:tcMar>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行政强制</w:t>
            </w:r>
          </w:p>
        </w:tc>
        <w:tc>
          <w:tcPr>
            <w:tcW w:w="5027" w:type="dxa"/>
            <w:gridSpan w:val="3"/>
            <w:tcBorders>
              <w:tl2br w:val="nil"/>
              <w:tr2bl w:val="nil"/>
            </w:tcBorders>
            <w:noWrap/>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4" w:hRule="atLeast"/>
          <w:jc w:val="center"/>
        </w:trPr>
        <w:tc>
          <w:tcPr>
            <w:tcW w:w="8140" w:type="dxa"/>
            <w:gridSpan w:val="4"/>
            <w:tcBorders>
              <w:tl2br w:val="nil"/>
              <w:tr2bl w:val="nil"/>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第二十条第（八）项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70" w:hRule="atLeast"/>
          <w:jc w:val="center"/>
        </w:trPr>
        <w:tc>
          <w:tcPr>
            <w:tcW w:w="3113" w:type="dxa"/>
            <w:tcBorders>
              <w:tl2br w:val="nil"/>
              <w:tr2bl w:val="nil"/>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信息内容</w:t>
            </w:r>
          </w:p>
        </w:tc>
        <w:tc>
          <w:tcPr>
            <w:tcW w:w="5027" w:type="dxa"/>
            <w:gridSpan w:val="3"/>
            <w:tcBorders>
              <w:tl2br w:val="nil"/>
              <w:tr2bl w:val="nil"/>
            </w:tcBorders>
            <w:noWrap/>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本年</w:t>
            </w:r>
            <w:r>
              <w:rPr>
                <w:rFonts w:hint="eastAsia" w:ascii="宋体" w:hAnsi="宋体" w:eastAsia="宋体" w:cs="宋体"/>
                <w:color w:val="000000" w:themeColor="text1"/>
                <w:kern w:val="0"/>
                <w:sz w:val="22"/>
                <w:szCs w:val="22"/>
                <w:lang w:val="en-US" w:eastAsia="zh-CN"/>
                <w14:textFill>
                  <w14:solidFill>
                    <w14:schemeClr w14:val="tx1"/>
                  </w14:solidFill>
                </w14:textFill>
              </w:rPr>
              <w:t>收费金额（单位：万元）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1" w:hRule="atLeast"/>
          <w:jc w:val="center"/>
        </w:trPr>
        <w:tc>
          <w:tcPr>
            <w:tcW w:w="3113" w:type="dxa"/>
            <w:tcBorders>
              <w:tl2br w:val="nil"/>
              <w:tr2bl w:val="nil"/>
            </w:tcBorders>
            <w:noWrap/>
            <w:tcMar>
              <w:top w:w="0" w:type="dxa"/>
              <w:left w:w="108" w:type="dxa"/>
              <w:bottom w:w="0" w:type="dxa"/>
              <w:right w:w="108" w:type="dxa"/>
            </w:tcMar>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行政事业性收费</w:t>
            </w:r>
          </w:p>
        </w:tc>
        <w:tc>
          <w:tcPr>
            <w:tcW w:w="5027" w:type="dxa"/>
            <w:gridSpan w:val="3"/>
            <w:tcBorders>
              <w:tl2br w:val="nil"/>
              <w:tr2bl w:val="nil"/>
            </w:tcBorders>
            <w:noWrap/>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r>
    </w:tbl>
    <w:p>
      <w:pPr>
        <w:keepNext w:val="0"/>
        <w:keepLines w:val="0"/>
        <w:pageBreakBefore w:val="0"/>
        <w:widowControl/>
        <w:shd w:val="clear" w:color="auto" w:fill="FFFFFF"/>
        <w:kinsoku/>
        <w:wordWrap/>
        <w:overflowPunct/>
        <w:topLinePunct w:val="0"/>
        <w:autoSpaceDE/>
        <w:autoSpaceDN/>
        <w:bidi w:val="0"/>
        <w:adjustRightInd/>
        <w:snapToGrid/>
        <w:spacing w:after="240" w:line="600" w:lineRule="exact"/>
        <w:ind w:firstLine="640" w:firstLineChars="200"/>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三、收到和处理政府信息公开申请情况</w:t>
      </w:r>
    </w:p>
    <w:tbl>
      <w:tblPr>
        <w:tblStyle w:val="5"/>
        <w:tblW w:w="907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656"/>
        <w:gridCol w:w="876"/>
        <w:gridCol w:w="2063"/>
        <w:gridCol w:w="807"/>
        <w:gridCol w:w="750"/>
        <w:gridCol w:w="750"/>
        <w:gridCol w:w="807"/>
        <w:gridCol w:w="964"/>
        <w:gridCol w:w="707"/>
        <w:gridCol w:w="69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595" w:type="dxa"/>
            <w:gridSpan w:val="3"/>
            <w:vMerge w:val="restart"/>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（本列数据的勾稽关系为：第一项加第二项之和，等于第三项加第四项之和）</w:t>
            </w:r>
          </w:p>
        </w:tc>
        <w:tc>
          <w:tcPr>
            <w:tcW w:w="5476" w:type="dxa"/>
            <w:gridSpan w:val="7"/>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gridSpan w:val="3"/>
            <w:vMerge w:val="continue"/>
            <w:tcBorders>
              <w:tl2br w:val="nil"/>
              <w:tr2bl w:val="nil"/>
            </w:tcBorders>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p>
        </w:tc>
        <w:tc>
          <w:tcPr>
            <w:tcW w:w="807" w:type="dxa"/>
            <w:vMerge w:val="restart"/>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自然人</w:t>
            </w:r>
          </w:p>
        </w:tc>
        <w:tc>
          <w:tcPr>
            <w:tcW w:w="3978" w:type="dxa"/>
            <w:gridSpan w:val="5"/>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法人或其他组织</w:t>
            </w:r>
          </w:p>
        </w:tc>
        <w:tc>
          <w:tcPr>
            <w:tcW w:w="691" w:type="dxa"/>
            <w:vMerge w:val="restart"/>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gridSpan w:val="3"/>
            <w:vMerge w:val="continue"/>
            <w:tcBorders>
              <w:tl2br w:val="nil"/>
              <w:tr2bl w:val="nil"/>
            </w:tcBorders>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p>
        </w:tc>
        <w:tc>
          <w:tcPr>
            <w:tcW w:w="807" w:type="dxa"/>
            <w:vMerge w:val="continue"/>
            <w:tcBorders>
              <w:tl2br w:val="nil"/>
              <w:tr2bl w:val="nil"/>
            </w:tcBorders>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商业企业</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科研机构</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社会公益组织</w:t>
            </w:r>
          </w:p>
        </w:tc>
        <w:tc>
          <w:tcPr>
            <w:tcW w:w="964"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法律服务机构</w:t>
            </w:r>
          </w:p>
        </w:tc>
        <w:tc>
          <w:tcPr>
            <w:tcW w:w="7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其他</w:t>
            </w:r>
          </w:p>
        </w:tc>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595" w:type="dxa"/>
            <w:gridSpan w:val="3"/>
            <w:tcBorders>
              <w:tl2br w:val="nil"/>
              <w:tr2bl w:val="nil"/>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一、本年新收政府信息公开申请数量</w:t>
            </w:r>
          </w:p>
        </w:tc>
        <w:tc>
          <w:tcPr>
            <w:tcW w:w="807"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807" w:type="dxa"/>
            <w:tcBorders>
              <w:tl2br w:val="nil"/>
              <w:tr2bl w:val="nil"/>
            </w:tcBorders>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964" w:type="dxa"/>
            <w:tcBorders>
              <w:tl2br w:val="nil"/>
              <w:tr2bl w:val="nil"/>
            </w:tcBorders>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07" w:type="dxa"/>
            <w:tcBorders>
              <w:tl2br w:val="nil"/>
              <w:tr2bl w:val="nil"/>
            </w:tcBorders>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691"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595" w:type="dxa"/>
            <w:gridSpan w:val="3"/>
            <w:tcBorders>
              <w:tl2br w:val="nil"/>
              <w:tr2bl w:val="nil"/>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二、上年结转政府信息公开申请数量</w:t>
            </w:r>
          </w:p>
        </w:tc>
        <w:tc>
          <w:tcPr>
            <w:tcW w:w="807"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964"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691"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56" w:type="dxa"/>
            <w:vMerge w:val="restart"/>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三、本年度办理结果</w:t>
            </w:r>
          </w:p>
        </w:tc>
        <w:tc>
          <w:tcPr>
            <w:tcW w:w="2939" w:type="dxa"/>
            <w:gridSpan w:val="2"/>
            <w:tcBorders>
              <w:tl2br w:val="nil"/>
              <w:tr2bl w:val="nil"/>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楷体" w:hAnsi="楷体" w:eastAsia="楷体" w:cs="宋体"/>
                <w:color w:val="000000" w:themeColor="text1"/>
                <w:kern w:val="0"/>
                <w:sz w:val="22"/>
                <w:szCs w:val="22"/>
                <w14:textFill>
                  <w14:solidFill>
                    <w14:schemeClr w14:val="tx1"/>
                  </w14:solidFill>
                </w14:textFill>
              </w:rPr>
              <w:t>（一）予以公开</w:t>
            </w:r>
          </w:p>
        </w:tc>
        <w:tc>
          <w:tcPr>
            <w:tcW w:w="807"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807"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964"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07"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691"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p>
        </w:tc>
        <w:tc>
          <w:tcPr>
            <w:tcW w:w="2939" w:type="dxa"/>
            <w:gridSpan w:val="2"/>
            <w:tcBorders>
              <w:tl2br w:val="nil"/>
              <w:tr2bl w:val="nil"/>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楷体" w:hAnsi="楷体" w:eastAsia="楷体" w:cs="宋体"/>
                <w:color w:val="000000" w:themeColor="text1"/>
                <w:kern w:val="0"/>
                <w:sz w:val="22"/>
                <w:szCs w:val="22"/>
                <w14:textFill>
                  <w14:solidFill>
                    <w14:schemeClr w14:val="tx1"/>
                  </w14:solidFill>
                </w14:textFill>
              </w:rPr>
              <w:t>（二）部分公开（区分处理的，只计这一情形，不计其他情形）</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964"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691"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p>
        </w:tc>
        <w:tc>
          <w:tcPr>
            <w:tcW w:w="876" w:type="dxa"/>
            <w:vMerge w:val="restart"/>
            <w:tcBorders>
              <w:tl2br w:val="nil"/>
              <w:tr2bl w:val="nil"/>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楷体" w:hAnsi="楷体" w:eastAsia="楷体" w:cs="宋体"/>
                <w:color w:val="000000" w:themeColor="text1"/>
                <w:kern w:val="0"/>
                <w:sz w:val="22"/>
                <w:szCs w:val="22"/>
                <w14:textFill>
                  <w14:solidFill>
                    <w14:schemeClr w14:val="tx1"/>
                  </w14:solidFill>
                </w14:textFill>
              </w:rPr>
              <w:t>（三）不予公开</w:t>
            </w:r>
          </w:p>
        </w:tc>
        <w:tc>
          <w:tcPr>
            <w:tcW w:w="2063" w:type="dxa"/>
            <w:tcBorders>
              <w:tl2br w:val="nil"/>
              <w:tr2bl w:val="nil"/>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楷体" w:hAnsi="楷体" w:eastAsia="楷体" w:cs="宋体"/>
                <w:color w:val="000000" w:themeColor="text1"/>
                <w:kern w:val="0"/>
                <w:sz w:val="22"/>
                <w:szCs w:val="22"/>
                <w14:textFill>
                  <w14:solidFill>
                    <w14:schemeClr w14:val="tx1"/>
                  </w14:solidFill>
                </w14:textFill>
              </w:rPr>
              <w:t>1.属于国家秘密</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964"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691"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p>
        </w:tc>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p>
        </w:tc>
        <w:tc>
          <w:tcPr>
            <w:tcW w:w="2063" w:type="dxa"/>
            <w:tcBorders>
              <w:tl2br w:val="nil"/>
              <w:tr2bl w:val="nil"/>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楷体" w:hAnsi="楷体" w:eastAsia="楷体" w:cs="宋体"/>
                <w:color w:val="000000" w:themeColor="text1"/>
                <w:kern w:val="0"/>
                <w:sz w:val="22"/>
                <w:szCs w:val="22"/>
                <w14:textFill>
                  <w14:solidFill>
                    <w14:schemeClr w14:val="tx1"/>
                  </w14:solidFill>
                </w14:textFill>
              </w:rPr>
              <w:t>2.其他法律行政法规禁止公开</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964"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691"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p>
        </w:tc>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p>
        </w:tc>
        <w:tc>
          <w:tcPr>
            <w:tcW w:w="2063" w:type="dxa"/>
            <w:tcBorders>
              <w:tl2br w:val="nil"/>
              <w:tr2bl w:val="nil"/>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楷体" w:hAnsi="楷体" w:eastAsia="楷体" w:cs="宋体"/>
                <w:color w:val="000000" w:themeColor="text1"/>
                <w:kern w:val="0"/>
                <w:sz w:val="22"/>
                <w:szCs w:val="22"/>
                <w14:textFill>
                  <w14:solidFill>
                    <w14:schemeClr w14:val="tx1"/>
                  </w14:solidFill>
                </w14:textFill>
              </w:rPr>
              <w:t>3.危及“三安全一稳定”</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964"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691"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p>
        </w:tc>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p>
        </w:tc>
        <w:tc>
          <w:tcPr>
            <w:tcW w:w="2063" w:type="dxa"/>
            <w:tcBorders>
              <w:tl2br w:val="nil"/>
              <w:tr2bl w:val="nil"/>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楷体" w:hAnsi="楷体" w:eastAsia="楷体" w:cs="宋体"/>
                <w:color w:val="000000" w:themeColor="text1"/>
                <w:kern w:val="0"/>
                <w:sz w:val="22"/>
                <w:szCs w:val="22"/>
                <w14:textFill>
                  <w14:solidFill>
                    <w14:schemeClr w14:val="tx1"/>
                  </w14:solidFill>
                </w14:textFill>
              </w:rPr>
              <w:t>4.保护第三方合法权益</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964"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691"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p>
        </w:tc>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p>
        </w:tc>
        <w:tc>
          <w:tcPr>
            <w:tcW w:w="2063" w:type="dxa"/>
            <w:tcBorders>
              <w:tl2br w:val="nil"/>
              <w:tr2bl w:val="nil"/>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楷体" w:hAnsi="楷体" w:eastAsia="楷体" w:cs="宋体"/>
                <w:color w:val="000000" w:themeColor="text1"/>
                <w:kern w:val="0"/>
                <w:sz w:val="22"/>
                <w:szCs w:val="22"/>
                <w14:textFill>
                  <w14:solidFill>
                    <w14:schemeClr w14:val="tx1"/>
                  </w14:solidFill>
                </w14:textFill>
              </w:rPr>
              <w:t>5.属于三类内部事务信息</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964"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691"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p>
        </w:tc>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p>
        </w:tc>
        <w:tc>
          <w:tcPr>
            <w:tcW w:w="2063" w:type="dxa"/>
            <w:tcBorders>
              <w:tl2br w:val="nil"/>
              <w:tr2bl w:val="nil"/>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楷体" w:hAnsi="楷体" w:eastAsia="楷体" w:cs="宋体"/>
                <w:color w:val="000000" w:themeColor="text1"/>
                <w:kern w:val="0"/>
                <w:sz w:val="22"/>
                <w:szCs w:val="22"/>
                <w14:textFill>
                  <w14:solidFill>
                    <w14:schemeClr w14:val="tx1"/>
                  </w14:solidFill>
                </w14:textFill>
              </w:rPr>
              <w:t>6.属于四类过程性信息</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964"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691"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p>
        </w:tc>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p>
        </w:tc>
        <w:tc>
          <w:tcPr>
            <w:tcW w:w="2063" w:type="dxa"/>
            <w:tcBorders>
              <w:tl2br w:val="nil"/>
              <w:tr2bl w:val="nil"/>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楷体" w:hAnsi="楷体" w:eastAsia="楷体" w:cs="宋体"/>
                <w:color w:val="000000" w:themeColor="text1"/>
                <w:kern w:val="0"/>
                <w:sz w:val="22"/>
                <w:szCs w:val="22"/>
                <w14:textFill>
                  <w14:solidFill>
                    <w14:schemeClr w14:val="tx1"/>
                  </w14:solidFill>
                </w14:textFill>
              </w:rPr>
              <w:t>7.属于行政执法案卷</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964"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691"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p>
        </w:tc>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p>
        </w:tc>
        <w:tc>
          <w:tcPr>
            <w:tcW w:w="2063" w:type="dxa"/>
            <w:tcBorders>
              <w:tl2br w:val="nil"/>
              <w:tr2bl w:val="nil"/>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楷体" w:hAnsi="楷体" w:eastAsia="楷体" w:cs="宋体"/>
                <w:color w:val="000000" w:themeColor="text1"/>
                <w:kern w:val="0"/>
                <w:sz w:val="22"/>
                <w:szCs w:val="22"/>
                <w14:textFill>
                  <w14:solidFill>
                    <w14:schemeClr w14:val="tx1"/>
                  </w14:solidFill>
                </w14:textFill>
              </w:rPr>
              <w:t>8.属于行政查询事项</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964"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691"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p>
        </w:tc>
        <w:tc>
          <w:tcPr>
            <w:tcW w:w="876" w:type="dxa"/>
            <w:vMerge w:val="restart"/>
            <w:tcBorders>
              <w:tl2br w:val="nil"/>
              <w:tr2bl w:val="nil"/>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楷体" w:hAnsi="楷体" w:eastAsia="楷体" w:cs="宋体"/>
                <w:color w:val="000000" w:themeColor="text1"/>
                <w:kern w:val="0"/>
                <w:sz w:val="22"/>
                <w:szCs w:val="22"/>
                <w14:textFill>
                  <w14:solidFill>
                    <w14:schemeClr w14:val="tx1"/>
                  </w14:solidFill>
                </w14:textFill>
              </w:rPr>
              <w:t>（四）无法提供</w:t>
            </w:r>
          </w:p>
        </w:tc>
        <w:tc>
          <w:tcPr>
            <w:tcW w:w="2063" w:type="dxa"/>
            <w:tcBorders>
              <w:tl2br w:val="nil"/>
              <w:tr2bl w:val="nil"/>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楷体" w:hAnsi="楷体" w:eastAsia="楷体" w:cs="宋体"/>
                <w:color w:val="000000" w:themeColor="text1"/>
                <w:kern w:val="0"/>
                <w:sz w:val="22"/>
                <w:szCs w:val="22"/>
                <w14:textFill>
                  <w14:solidFill>
                    <w14:schemeClr w14:val="tx1"/>
                  </w14:solidFill>
                </w14:textFill>
              </w:rPr>
              <w:t>1.本机关不掌握相关政府信息</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964"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691"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p>
        </w:tc>
        <w:tc>
          <w:tcPr>
            <w:tcW w:w="2063" w:type="dxa"/>
            <w:tcBorders>
              <w:tl2br w:val="nil"/>
              <w:tr2bl w:val="nil"/>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楷体" w:hAnsi="楷体" w:eastAsia="楷体" w:cs="宋体"/>
                <w:color w:val="000000" w:themeColor="text1"/>
                <w:kern w:val="0"/>
                <w:sz w:val="22"/>
                <w:szCs w:val="22"/>
                <w14:textFill>
                  <w14:solidFill>
                    <w14:schemeClr w14:val="tx1"/>
                  </w14:solidFill>
                </w14:textFill>
              </w:rPr>
              <w:t>2.没有现成信息需要另行制作</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964"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691"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p>
        </w:tc>
        <w:tc>
          <w:tcPr>
            <w:tcW w:w="2063" w:type="dxa"/>
            <w:tcBorders>
              <w:tl2br w:val="nil"/>
              <w:tr2bl w:val="nil"/>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楷体" w:hAnsi="楷体" w:eastAsia="楷体" w:cs="宋体"/>
                <w:color w:val="000000" w:themeColor="text1"/>
                <w:kern w:val="0"/>
                <w:sz w:val="22"/>
                <w:szCs w:val="22"/>
                <w14:textFill>
                  <w14:solidFill>
                    <w14:schemeClr w14:val="tx1"/>
                  </w14:solidFill>
                </w14:textFill>
              </w:rPr>
              <w:t>3.补正后申请内容仍不明确</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964"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691"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876" w:type="dxa"/>
            <w:vMerge w:val="restart"/>
            <w:tcBorders>
              <w:tl2br w:val="nil"/>
              <w:tr2bl w:val="nil"/>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楷体" w:hAnsi="楷体" w:eastAsia="楷体" w:cs="宋体"/>
                <w:color w:val="000000" w:themeColor="text1"/>
                <w:kern w:val="0"/>
                <w:sz w:val="22"/>
                <w:szCs w:val="22"/>
                <w14:textFill>
                  <w14:solidFill>
                    <w14:schemeClr w14:val="tx1"/>
                  </w14:solidFill>
                </w14:textFill>
              </w:rPr>
              <w:t>（五）不予处理</w:t>
            </w:r>
          </w:p>
        </w:tc>
        <w:tc>
          <w:tcPr>
            <w:tcW w:w="2063" w:type="dxa"/>
            <w:tcBorders>
              <w:tl2br w:val="nil"/>
              <w:tr2bl w:val="nil"/>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楷体" w:hAnsi="楷体" w:eastAsia="楷体" w:cs="宋体"/>
                <w:color w:val="000000" w:themeColor="text1"/>
                <w:kern w:val="0"/>
                <w:sz w:val="22"/>
                <w:szCs w:val="22"/>
                <w14:textFill>
                  <w14:solidFill>
                    <w14:schemeClr w14:val="tx1"/>
                  </w14:solidFill>
                </w14:textFill>
              </w:rPr>
              <w:t>1.信访举报投诉类申请</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964"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691"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063" w:type="dxa"/>
            <w:tcBorders>
              <w:tl2br w:val="nil"/>
              <w:tr2bl w:val="nil"/>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楷体" w:hAnsi="楷体" w:eastAsia="楷体" w:cs="宋体"/>
                <w:color w:val="000000" w:themeColor="text1"/>
                <w:kern w:val="0"/>
                <w:sz w:val="22"/>
                <w:szCs w:val="22"/>
                <w14:textFill>
                  <w14:solidFill>
                    <w14:schemeClr w14:val="tx1"/>
                  </w14:solidFill>
                </w14:textFill>
              </w:rPr>
              <w:t>2.重复申请</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964"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691"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063" w:type="dxa"/>
            <w:tcBorders>
              <w:tl2br w:val="nil"/>
              <w:tr2bl w:val="nil"/>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楷体" w:hAnsi="楷体" w:eastAsia="楷体" w:cs="宋体"/>
                <w:color w:val="000000" w:themeColor="text1"/>
                <w:kern w:val="0"/>
                <w:sz w:val="22"/>
                <w:szCs w:val="22"/>
                <w14:textFill>
                  <w14:solidFill>
                    <w14:schemeClr w14:val="tx1"/>
                  </w14:solidFill>
                </w14:textFill>
              </w:rPr>
              <w:t>3.要求提供公开出版物</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964"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691"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063" w:type="dxa"/>
            <w:tcBorders>
              <w:tl2br w:val="nil"/>
              <w:tr2bl w:val="nil"/>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楷体" w:hAnsi="楷体" w:eastAsia="楷体" w:cs="宋体"/>
                <w:color w:val="000000" w:themeColor="text1"/>
                <w:kern w:val="0"/>
                <w:sz w:val="22"/>
                <w:szCs w:val="22"/>
                <w14:textFill>
                  <w14:solidFill>
                    <w14:schemeClr w14:val="tx1"/>
                  </w14:solidFill>
                </w14:textFill>
              </w:rPr>
              <w:t>4.无正当理由大量反复申请</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964"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691"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063" w:type="dxa"/>
            <w:tcBorders>
              <w:tl2br w:val="nil"/>
              <w:tr2bl w:val="nil"/>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楷体" w:hAnsi="楷体" w:eastAsia="楷体" w:cs="宋体"/>
                <w:color w:val="000000" w:themeColor="text1"/>
                <w:kern w:val="0"/>
                <w:sz w:val="22"/>
                <w:szCs w:val="22"/>
                <w14:textFill>
                  <w14:solidFill>
                    <w14:schemeClr w14:val="tx1"/>
                  </w14:solidFill>
                </w14:textFill>
              </w:rPr>
              <w:t>5.要求行政机关确认或重新出具已获取信息</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964"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691"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7" w:hRule="atLeast"/>
          <w:jc w:val="center"/>
        </w:trPr>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876" w:type="dxa"/>
            <w:vMerge w:val="restart"/>
            <w:tcBorders>
              <w:tl2br w:val="nil"/>
              <w:tr2bl w:val="nil"/>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楷体" w:hAnsi="楷体" w:eastAsia="楷体" w:cs="宋体"/>
                <w:color w:val="000000" w:themeColor="text1"/>
                <w:kern w:val="0"/>
                <w:sz w:val="22"/>
                <w:szCs w:val="22"/>
                <w14:textFill>
                  <w14:solidFill>
                    <w14:schemeClr w14:val="tx1"/>
                  </w14:solidFill>
                </w14:textFill>
              </w:rPr>
              <w:t>（六）其他处理</w:t>
            </w:r>
          </w:p>
        </w:tc>
        <w:tc>
          <w:tcPr>
            <w:tcW w:w="2063" w:type="dxa"/>
            <w:tcBorders>
              <w:tl2br w:val="nil"/>
              <w:tr2bl w:val="nil"/>
            </w:tcBorders>
            <w:tcMar>
              <w:top w:w="0" w:type="dxa"/>
              <w:left w:w="108" w:type="dxa"/>
              <w:bottom w:w="0" w:type="dxa"/>
              <w:right w:w="108" w:type="dxa"/>
            </w:tcMar>
            <w:vAlign w:val="center"/>
          </w:tcPr>
          <w:p>
            <w:pPr>
              <w:widowControl/>
              <w:jc w:val="left"/>
              <w:rPr>
                <w:rFonts w:hint="eastAsia" w:ascii="楷体" w:hAnsi="楷体" w:eastAsia="楷体" w:cs="宋体"/>
                <w:color w:val="000000" w:themeColor="text1"/>
                <w:kern w:val="0"/>
                <w:sz w:val="22"/>
                <w:szCs w:val="22"/>
                <w14:textFill>
                  <w14:solidFill>
                    <w14:schemeClr w14:val="tx1"/>
                  </w14:solidFill>
                </w14:textFill>
              </w:rPr>
            </w:pPr>
            <w:r>
              <w:rPr>
                <w:rFonts w:hint="eastAsia" w:ascii="楷体" w:hAnsi="楷体" w:eastAsia="楷体" w:cs="宋体"/>
                <w:color w:val="000000" w:themeColor="text1"/>
                <w:kern w:val="0"/>
                <w:sz w:val="22"/>
                <w:szCs w:val="22"/>
                <w14:textFill>
                  <w14:solidFill>
                    <w14:schemeClr w14:val="tx1"/>
                  </w14:solidFill>
                </w14:textFill>
              </w:rPr>
              <w:t>1.申请人无正当理由逾期不补正、行政机关不再处理其政府信息公开申请</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964"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691"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876" w:type="dxa"/>
            <w:vMerge w:val="continue"/>
            <w:tcBorders>
              <w:tl2br w:val="nil"/>
              <w:tr2bl w:val="nil"/>
            </w:tcBorders>
            <w:tcMar>
              <w:top w:w="0" w:type="dxa"/>
              <w:left w:w="108" w:type="dxa"/>
              <w:bottom w:w="0" w:type="dxa"/>
              <w:right w:w="108" w:type="dxa"/>
            </w:tcMar>
            <w:vAlign w:val="center"/>
          </w:tcPr>
          <w:p>
            <w:pPr>
              <w:widowControl/>
              <w:jc w:val="left"/>
              <w:rPr>
                <w:rFonts w:hint="eastAsia" w:ascii="楷体" w:hAnsi="楷体" w:eastAsia="楷体" w:cs="宋体"/>
                <w:color w:val="000000" w:themeColor="text1"/>
                <w:kern w:val="0"/>
                <w:sz w:val="22"/>
                <w:szCs w:val="22"/>
                <w14:textFill>
                  <w14:solidFill>
                    <w14:schemeClr w14:val="tx1"/>
                  </w14:solidFill>
                </w14:textFill>
              </w:rPr>
            </w:pPr>
          </w:p>
        </w:tc>
        <w:tc>
          <w:tcPr>
            <w:tcW w:w="2063" w:type="dxa"/>
            <w:tcBorders>
              <w:tl2br w:val="nil"/>
              <w:tr2bl w:val="nil"/>
            </w:tcBorders>
            <w:tcMar>
              <w:top w:w="0" w:type="dxa"/>
              <w:left w:w="108" w:type="dxa"/>
              <w:bottom w:w="0" w:type="dxa"/>
              <w:right w:w="108" w:type="dxa"/>
            </w:tcMar>
            <w:vAlign w:val="center"/>
          </w:tcPr>
          <w:p>
            <w:pPr>
              <w:widowControl/>
              <w:jc w:val="left"/>
              <w:rPr>
                <w:rFonts w:hint="eastAsia" w:ascii="楷体" w:hAnsi="楷体" w:eastAsia="楷体" w:cs="宋体"/>
                <w:color w:val="000000" w:themeColor="text1"/>
                <w:kern w:val="0"/>
                <w:sz w:val="22"/>
                <w:szCs w:val="22"/>
                <w14:textFill>
                  <w14:solidFill>
                    <w14:schemeClr w14:val="tx1"/>
                  </w14:solidFill>
                </w14:textFill>
              </w:rPr>
            </w:pPr>
            <w:r>
              <w:rPr>
                <w:rFonts w:hint="eastAsia" w:ascii="楷体" w:hAnsi="楷体" w:eastAsia="楷体" w:cs="宋体"/>
                <w:color w:val="000000" w:themeColor="text1"/>
                <w:kern w:val="0"/>
                <w:sz w:val="22"/>
                <w:szCs w:val="22"/>
                <w14:textFill>
                  <w14:solidFill>
                    <w14:schemeClr w14:val="tx1"/>
                  </w14:solidFill>
                </w14:textFill>
              </w:rPr>
              <w:t>2.申请人逾期未按收费通知要求缴纳费用、行政机关不再处理其政府信息公开申请</w:t>
            </w:r>
          </w:p>
        </w:tc>
        <w:tc>
          <w:tcPr>
            <w:tcW w:w="807" w:type="dxa"/>
            <w:tcBorders>
              <w:tl2br w:val="nil"/>
              <w:tr2bl w:val="nil"/>
            </w:tcBorders>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807" w:type="dxa"/>
            <w:tcBorders>
              <w:tl2br w:val="nil"/>
              <w:tr2bl w:val="nil"/>
            </w:tcBorders>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964" w:type="dxa"/>
            <w:tcBorders>
              <w:tl2br w:val="nil"/>
              <w:tr2bl w:val="nil"/>
            </w:tcBorders>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07" w:type="dxa"/>
            <w:tcBorders>
              <w:tl2br w:val="nil"/>
              <w:tr2bl w:val="nil"/>
            </w:tcBorders>
            <w:tcMar>
              <w:top w:w="0" w:type="dxa"/>
              <w:left w:w="108" w:type="dxa"/>
              <w:bottom w:w="0" w:type="dxa"/>
              <w:right w:w="108" w:type="dxa"/>
            </w:tcMar>
            <w:vAlign w:val="center"/>
          </w:tcPr>
          <w:p>
            <w:pPr>
              <w:widowControl/>
              <w:jc w:val="center"/>
              <w:rPr>
                <w:rFonts w:hint="default" w:ascii="宋体" w:hAnsi="宋体" w:eastAsia="宋体" w:cs="宋体"/>
                <w:color w:val="000000" w:themeColor="text1"/>
                <w:kern w:val="0"/>
                <w:sz w:val="22"/>
                <w:szCs w:val="22"/>
                <w:lang w:val="en-US" w:eastAsia="zh-CN"/>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691" w:type="dxa"/>
            <w:tcBorders>
              <w:tl2br w:val="nil"/>
              <w:tr2bl w:val="nil"/>
            </w:tcBorders>
            <w:tcMar>
              <w:top w:w="0" w:type="dxa"/>
              <w:left w:w="108" w:type="dxa"/>
              <w:bottom w:w="0" w:type="dxa"/>
              <w:right w:w="108" w:type="dxa"/>
            </w:tcMar>
            <w:vAlign w:val="center"/>
          </w:tcPr>
          <w:p>
            <w:pPr>
              <w:widowControl/>
              <w:jc w:val="center"/>
              <w:rPr>
                <w:rFonts w:hint="default"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cstheme="minorEastAsia"/>
                <w:color w:val="000000" w:themeColor="text1"/>
                <w:kern w:val="0"/>
                <w:sz w:val="22"/>
                <w:szCs w:val="22"/>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62" w:hRule="atLeast"/>
          <w:jc w:val="center"/>
        </w:trPr>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4"/>
                <w:szCs w:val="24"/>
                <w14:textFill>
                  <w14:solidFill>
                    <w14:schemeClr w14:val="tx1"/>
                  </w14:solidFill>
                </w14:textFill>
              </w:rPr>
            </w:pPr>
          </w:p>
        </w:tc>
        <w:tc>
          <w:tcPr>
            <w:tcW w:w="2939" w:type="dxa"/>
            <w:gridSpan w:val="2"/>
            <w:tcBorders>
              <w:tl2br w:val="nil"/>
              <w:tr2bl w:val="nil"/>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楷体" w:hAnsi="楷体" w:eastAsia="楷体" w:cs="宋体"/>
                <w:color w:val="000000" w:themeColor="text1"/>
                <w:kern w:val="0"/>
                <w:sz w:val="22"/>
                <w:szCs w:val="22"/>
                <w14:textFill>
                  <w14:solidFill>
                    <w14:schemeClr w14:val="tx1"/>
                  </w14:solidFill>
                </w14:textFill>
              </w:rPr>
              <w:t>（七）总计</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964"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691"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92" w:hRule="atLeast"/>
          <w:jc w:val="center"/>
        </w:trPr>
        <w:tc>
          <w:tcPr>
            <w:tcW w:w="3595" w:type="dxa"/>
            <w:gridSpan w:val="3"/>
            <w:tcBorders>
              <w:tl2br w:val="nil"/>
              <w:tr2bl w:val="nil"/>
            </w:tcBorders>
            <w:tcMar>
              <w:top w:w="0" w:type="dxa"/>
              <w:left w:w="108" w:type="dxa"/>
              <w:bottom w:w="0" w:type="dxa"/>
              <w:right w:w="108" w:type="dxa"/>
            </w:tcMar>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四、结转下年度继续办理</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8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964"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707"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lang w:val="en-US" w:eastAsia="zh-CN"/>
                <w14:textFill>
                  <w14:solidFill>
                    <w14:schemeClr w14:val="tx1"/>
                  </w14:solidFill>
                </w14:textFill>
              </w:rPr>
              <w:t>0</w:t>
            </w:r>
          </w:p>
        </w:tc>
        <w:tc>
          <w:tcPr>
            <w:tcW w:w="691"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t>0</w:t>
            </w:r>
          </w:p>
        </w:tc>
      </w:tr>
    </w:tbl>
    <w:p>
      <w:pPr>
        <w:widowControl/>
        <w:shd w:val="clear" w:color="auto" w:fill="FFFFFF"/>
        <w:ind w:firstLine="640" w:firstLineChars="200"/>
        <w:rPr>
          <w:rFonts w:hint="eastAsia" w:ascii="宋体" w:hAnsi="宋体" w:eastAsia="宋体" w:cs="宋体"/>
          <w:color w:val="000000" w:themeColor="text1"/>
          <w:kern w:val="0"/>
          <w:sz w:val="2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四、政府信息公开行政复议、行政诉讼情况</w:t>
      </w:r>
    </w:p>
    <w:tbl>
      <w:tblPr>
        <w:tblStyle w:val="5"/>
        <w:tblW w:w="907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074" w:type="dxa"/>
            <w:gridSpan w:val="5"/>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行政复议</w:t>
            </w:r>
          </w:p>
        </w:tc>
        <w:tc>
          <w:tcPr>
            <w:tcW w:w="5997" w:type="dxa"/>
            <w:gridSpan w:val="10"/>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行政诉讼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04" w:type="dxa"/>
            <w:vMerge w:val="restart"/>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结果维持</w:t>
            </w:r>
          </w:p>
        </w:tc>
        <w:tc>
          <w:tcPr>
            <w:tcW w:w="604" w:type="dxa"/>
            <w:vMerge w:val="restart"/>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结果纠正</w:t>
            </w:r>
          </w:p>
        </w:tc>
        <w:tc>
          <w:tcPr>
            <w:tcW w:w="604" w:type="dxa"/>
            <w:vMerge w:val="restart"/>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其他结果</w:t>
            </w:r>
          </w:p>
        </w:tc>
        <w:tc>
          <w:tcPr>
            <w:tcW w:w="604" w:type="dxa"/>
            <w:vMerge w:val="restart"/>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尚未审结</w:t>
            </w:r>
          </w:p>
        </w:tc>
        <w:tc>
          <w:tcPr>
            <w:tcW w:w="658" w:type="dxa"/>
            <w:vMerge w:val="restart"/>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总计</w:t>
            </w:r>
          </w:p>
        </w:tc>
        <w:tc>
          <w:tcPr>
            <w:tcW w:w="2970" w:type="dxa"/>
            <w:gridSpan w:val="5"/>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未经复议直接起诉</w:t>
            </w:r>
          </w:p>
        </w:tc>
        <w:tc>
          <w:tcPr>
            <w:tcW w:w="3027" w:type="dxa"/>
            <w:gridSpan w:val="5"/>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复议后起诉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p>
        </w:tc>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p>
        </w:tc>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p>
        </w:tc>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p>
        </w:tc>
        <w:tc>
          <w:tcPr>
            <w:tcW w:w="0" w:type="auto"/>
            <w:vMerge w:val="continue"/>
            <w:tcBorders>
              <w:tl2br w:val="nil"/>
              <w:tr2bl w:val="nil"/>
            </w:tcBorders>
            <w:vAlign w:val="center"/>
          </w:tcPr>
          <w:p>
            <w:pPr>
              <w:widowControl/>
              <w:jc w:val="left"/>
              <w:rPr>
                <w:rFonts w:ascii="宋体" w:hAnsi="宋体" w:eastAsia="宋体" w:cs="宋体"/>
                <w:color w:val="000000" w:themeColor="text1"/>
                <w:kern w:val="0"/>
                <w:sz w:val="22"/>
                <w:szCs w:val="22"/>
                <w14:textFill>
                  <w14:solidFill>
                    <w14:schemeClr w14:val="tx1"/>
                  </w14:solidFill>
                </w14:textFill>
              </w:rPr>
            </w:pPr>
          </w:p>
        </w:tc>
        <w:tc>
          <w:tcPr>
            <w:tcW w:w="550"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结果维持</w:t>
            </w:r>
          </w:p>
        </w:tc>
        <w:tc>
          <w:tcPr>
            <w:tcW w:w="605"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结果纠正</w:t>
            </w:r>
          </w:p>
        </w:tc>
        <w:tc>
          <w:tcPr>
            <w:tcW w:w="605"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其他结果</w:t>
            </w:r>
          </w:p>
        </w:tc>
        <w:tc>
          <w:tcPr>
            <w:tcW w:w="605"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尚未审结</w:t>
            </w:r>
          </w:p>
        </w:tc>
        <w:tc>
          <w:tcPr>
            <w:tcW w:w="605"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总计</w:t>
            </w:r>
          </w:p>
        </w:tc>
        <w:tc>
          <w:tcPr>
            <w:tcW w:w="605"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结果维持</w:t>
            </w:r>
          </w:p>
        </w:tc>
        <w:tc>
          <w:tcPr>
            <w:tcW w:w="605"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结果纠正</w:t>
            </w:r>
          </w:p>
        </w:tc>
        <w:tc>
          <w:tcPr>
            <w:tcW w:w="605"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其他结果</w:t>
            </w:r>
          </w:p>
        </w:tc>
        <w:tc>
          <w:tcPr>
            <w:tcW w:w="606"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尚未审结</w:t>
            </w:r>
          </w:p>
        </w:tc>
        <w:tc>
          <w:tcPr>
            <w:tcW w:w="606"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宋体" w:hAnsi="宋体" w:eastAsia="宋体" w:cs="宋体"/>
                <w:color w:val="000000" w:themeColor="text1"/>
                <w:kern w:val="0"/>
                <w:sz w:val="22"/>
                <w:szCs w:val="22"/>
                <w14:textFill>
                  <w14:solidFill>
                    <w14:schemeClr w14:val="tx1"/>
                  </w14:solidFill>
                </w14:textFill>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04"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ascii="Calibri" w:hAnsi="Calibri" w:eastAsia="宋体" w:cs="宋体"/>
                <w:color w:val="000000" w:themeColor="text1"/>
                <w:kern w:val="0"/>
                <w:sz w:val="22"/>
                <w:szCs w:val="22"/>
                <w14:textFill>
                  <w14:solidFill>
                    <w14:schemeClr w14:val="tx1"/>
                  </w14:solidFill>
                </w14:textFill>
              </w:rPr>
              <w:t> </w:t>
            </w:r>
            <w:r>
              <w:rPr>
                <w:rFonts w:hint="eastAsia" w:ascii="Calibri" w:hAnsi="Calibri" w:eastAsia="宋体" w:cs="宋体"/>
                <w:color w:val="000000" w:themeColor="text1"/>
                <w:kern w:val="0"/>
                <w:sz w:val="22"/>
                <w:szCs w:val="22"/>
                <w:lang w:val="en-US" w:eastAsia="zh-CN"/>
                <w14:textFill>
                  <w14:solidFill>
                    <w14:schemeClr w14:val="tx1"/>
                  </w14:solidFill>
                </w14:textFill>
              </w:rPr>
              <w:t>0</w:t>
            </w:r>
          </w:p>
        </w:tc>
        <w:tc>
          <w:tcPr>
            <w:tcW w:w="604"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ascii="Calibri" w:hAnsi="Calibri" w:eastAsia="宋体" w:cs="宋体"/>
                <w:color w:val="000000" w:themeColor="text1"/>
                <w:kern w:val="0"/>
                <w:sz w:val="22"/>
                <w:szCs w:val="22"/>
                <w14:textFill>
                  <w14:solidFill>
                    <w14:schemeClr w14:val="tx1"/>
                  </w14:solidFill>
                </w14:textFill>
              </w:rPr>
              <w:t> </w:t>
            </w:r>
            <w:r>
              <w:rPr>
                <w:rFonts w:hint="eastAsia" w:ascii="Calibri" w:hAnsi="Calibri" w:eastAsia="宋体" w:cs="宋体"/>
                <w:color w:val="000000" w:themeColor="text1"/>
                <w:kern w:val="0"/>
                <w:sz w:val="22"/>
                <w:szCs w:val="22"/>
                <w:lang w:val="en-US" w:eastAsia="zh-CN"/>
                <w14:textFill>
                  <w14:solidFill>
                    <w14:schemeClr w14:val="tx1"/>
                  </w14:solidFill>
                </w14:textFill>
              </w:rPr>
              <w:t>0</w:t>
            </w:r>
          </w:p>
        </w:tc>
        <w:tc>
          <w:tcPr>
            <w:tcW w:w="604" w:type="dxa"/>
            <w:tcBorders>
              <w:tl2br w:val="nil"/>
              <w:tr2bl w:val="nil"/>
            </w:tcBorders>
            <w:tcMar>
              <w:top w:w="0" w:type="dxa"/>
              <w:left w:w="108" w:type="dxa"/>
              <w:bottom w:w="0" w:type="dxa"/>
              <w:right w:w="108" w:type="dxa"/>
            </w:tcMar>
            <w:vAlign w:val="center"/>
          </w:tcPr>
          <w:p>
            <w:pPr>
              <w:widowControl/>
              <w:jc w:val="center"/>
              <w:rPr>
                <w:rFonts w:hint="eastAsia" w:ascii="宋体" w:hAnsi="宋体" w:eastAsia="宋体" w:cs="宋体"/>
                <w:color w:val="000000" w:themeColor="text1"/>
                <w:kern w:val="0"/>
                <w:sz w:val="22"/>
                <w:szCs w:val="22"/>
                <w:lang w:val="en-US" w:eastAsia="zh-CN"/>
                <w14:textFill>
                  <w14:solidFill>
                    <w14:schemeClr w14:val="tx1"/>
                  </w14:solidFill>
                </w14:textFill>
              </w:rPr>
            </w:pPr>
            <w:r>
              <w:rPr>
                <w:rFonts w:ascii="Calibri" w:hAnsi="Calibri" w:eastAsia="宋体" w:cs="宋体"/>
                <w:color w:val="000000" w:themeColor="text1"/>
                <w:kern w:val="0"/>
                <w:sz w:val="22"/>
                <w:szCs w:val="22"/>
                <w14:textFill>
                  <w14:solidFill>
                    <w14:schemeClr w14:val="tx1"/>
                  </w14:solidFill>
                </w14:textFill>
              </w:rPr>
              <w:t> </w:t>
            </w:r>
            <w:r>
              <w:rPr>
                <w:rFonts w:hint="eastAsia" w:ascii="Calibri" w:hAnsi="Calibri" w:eastAsia="宋体" w:cs="宋体"/>
                <w:color w:val="000000" w:themeColor="text1"/>
                <w:kern w:val="0"/>
                <w:sz w:val="22"/>
                <w:szCs w:val="22"/>
                <w:lang w:val="en-US" w:eastAsia="zh-CN"/>
                <w14:textFill>
                  <w14:solidFill>
                    <w14:schemeClr w14:val="tx1"/>
                  </w14:solidFill>
                </w14:textFill>
              </w:rPr>
              <w:t>0</w:t>
            </w:r>
          </w:p>
        </w:tc>
        <w:tc>
          <w:tcPr>
            <w:tcW w:w="604" w:type="dxa"/>
            <w:tcBorders>
              <w:tl2br w:val="nil"/>
              <w:tr2bl w:val="nil"/>
            </w:tcBorders>
            <w:tcMar>
              <w:top w:w="0" w:type="dxa"/>
              <w:left w:w="108" w:type="dxa"/>
              <w:bottom w:w="0" w:type="dxa"/>
              <w:right w:w="108" w:type="dxa"/>
            </w:tcMar>
            <w:vAlign w:val="center"/>
          </w:tcPr>
          <w:p>
            <w:pPr>
              <w:widowControl/>
              <w:jc w:val="center"/>
              <w:rPr>
                <w:rFonts w:ascii="宋体" w:hAnsi="宋体" w:eastAsia="宋体" w:cs="宋体"/>
                <w:color w:val="000000" w:themeColor="text1"/>
                <w:kern w:val="0"/>
                <w:sz w:val="22"/>
                <w:szCs w:val="22"/>
                <w14:textFill>
                  <w14:solidFill>
                    <w14:schemeClr w14:val="tx1"/>
                  </w14:solidFill>
                </w14:textFill>
              </w:rPr>
            </w:pPr>
            <w:r>
              <w:rPr>
                <w:rFonts w:hint="eastAsia" w:ascii="Calibri" w:hAnsi="Calibri" w:eastAsia="宋体" w:cs="宋体"/>
                <w:color w:val="000000" w:themeColor="text1"/>
                <w:kern w:val="0"/>
                <w:sz w:val="22"/>
                <w:szCs w:val="22"/>
                <w:lang w:val="en-US" w:eastAsia="zh-CN"/>
                <w14:textFill>
                  <w14:solidFill>
                    <w14:schemeClr w14:val="tx1"/>
                  </w14:solidFill>
                </w14:textFill>
              </w:rPr>
              <w:t>0</w:t>
            </w:r>
            <w:r>
              <w:rPr>
                <w:rFonts w:ascii="Calibri" w:hAnsi="Calibri" w:eastAsia="宋体" w:cs="宋体"/>
                <w:color w:val="000000" w:themeColor="text1"/>
                <w:kern w:val="0"/>
                <w:sz w:val="22"/>
                <w:szCs w:val="22"/>
                <w14:textFill>
                  <w14:solidFill>
                    <w14:schemeClr w14:val="tx1"/>
                  </w14:solidFill>
                </w14:textFill>
              </w:rPr>
              <w:t> </w:t>
            </w:r>
          </w:p>
        </w:tc>
        <w:tc>
          <w:tcPr>
            <w:tcW w:w="658"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t>0</w:t>
            </w:r>
          </w:p>
        </w:tc>
        <w:tc>
          <w:tcPr>
            <w:tcW w:w="550"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cstheme="minorEastAsia"/>
                <w:color w:val="000000" w:themeColor="text1"/>
                <w:kern w:val="0"/>
                <w:sz w:val="22"/>
                <w:szCs w:val="22"/>
                <w:lang w:val="en-US" w:eastAsia="zh-CN"/>
                <w14:textFill>
                  <w14:solidFill>
                    <w14:schemeClr w14:val="tx1"/>
                  </w14:solidFill>
                </w14:textFill>
              </w:rPr>
              <w:t>0</w:t>
            </w:r>
          </w:p>
        </w:tc>
        <w:tc>
          <w:tcPr>
            <w:tcW w:w="605"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cstheme="minorEastAsia"/>
                <w:color w:val="000000" w:themeColor="text1"/>
                <w:kern w:val="0"/>
                <w:sz w:val="22"/>
                <w:szCs w:val="22"/>
                <w:lang w:val="en-US" w:eastAsia="zh-CN"/>
                <w14:textFill>
                  <w14:solidFill>
                    <w14:schemeClr w14:val="tx1"/>
                  </w14:solidFill>
                </w14:textFill>
              </w:rPr>
              <w:t>0</w:t>
            </w:r>
          </w:p>
        </w:tc>
        <w:tc>
          <w:tcPr>
            <w:tcW w:w="605"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cstheme="minorEastAsia"/>
                <w:color w:val="000000" w:themeColor="text1"/>
                <w:kern w:val="0"/>
                <w:sz w:val="22"/>
                <w:szCs w:val="22"/>
                <w:lang w:val="en-US" w:eastAsia="zh-CN"/>
                <w14:textFill>
                  <w14:solidFill>
                    <w14:schemeClr w14:val="tx1"/>
                  </w14:solidFill>
                </w14:textFill>
              </w:rPr>
              <w:t>0</w:t>
            </w:r>
          </w:p>
        </w:tc>
        <w:tc>
          <w:tcPr>
            <w:tcW w:w="605"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cstheme="minorEastAsia"/>
                <w:color w:val="000000" w:themeColor="text1"/>
                <w:kern w:val="0"/>
                <w:sz w:val="22"/>
                <w:szCs w:val="22"/>
                <w:lang w:val="en-US" w:eastAsia="zh-CN"/>
                <w14:textFill>
                  <w14:solidFill>
                    <w14:schemeClr w14:val="tx1"/>
                  </w14:solidFill>
                </w14:textFill>
              </w:rPr>
              <w:t>0</w:t>
            </w:r>
          </w:p>
        </w:tc>
        <w:tc>
          <w:tcPr>
            <w:tcW w:w="605"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t>0</w:t>
            </w:r>
          </w:p>
        </w:tc>
        <w:tc>
          <w:tcPr>
            <w:tcW w:w="605"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cstheme="minorEastAsia"/>
                <w:color w:val="000000" w:themeColor="text1"/>
                <w:kern w:val="0"/>
                <w:sz w:val="22"/>
                <w:szCs w:val="22"/>
                <w:lang w:val="en-US" w:eastAsia="zh-CN"/>
                <w14:textFill>
                  <w14:solidFill>
                    <w14:schemeClr w14:val="tx1"/>
                  </w14:solidFill>
                </w14:textFill>
              </w:rPr>
              <w:t>0</w:t>
            </w:r>
          </w:p>
        </w:tc>
        <w:tc>
          <w:tcPr>
            <w:tcW w:w="605"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cstheme="minorEastAsia"/>
                <w:color w:val="000000" w:themeColor="text1"/>
                <w:kern w:val="0"/>
                <w:sz w:val="22"/>
                <w:szCs w:val="22"/>
                <w:lang w:val="en-US" w:eastAsia="zh-CN"/>
                <w14:textFill>
                  <w14:solidFill>
                    <w14:schemeClr w14:val="tx1"/>
                  </w14:solidFill>
                </w14:textFill>
              </w:rPr>
              <w:t>0</w:t>
            </w:r>
          </w:p>
        </w:tc>
        <w:tc>
          <w:tcPr>
            <w:tcW w:w="605"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cstheme="minorEastAsia"/>
                <w:color w:val="000000" w:themeColor="text1"/>
                <w:kern w:val="0"/>
                <w:sz w:val="22"/>
                <w:szCs w:val="22"/>
                <w:lang w:val="en-US" w:eastAsia="zh-CN"/>
                <w14:textFill>
                  <w14:solidFill>
                    <w14:schemeClr w14:val="tx1"/>
                  </w14:solidFill>
                </w14:textFill>
              </w:rPr>
              <w:t>0</w:t>
            </w:r>
          </w:p>
        </w:tc>
        <w:tc>
          <w:tcPr>
            <w:tcW w:w="606"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cstheme="minorEastAsia"/>
                <w:color w:val="000000" w:themeColor="text1"/>
                <w:kern w:val="0"/>
                <w:sz w:val="22"/>
                <w:szCs w:val="22"/>
                <w:lang w:val="en-US" w:eastAsia="zh-CN"/>
                <w14:textFill>
                  <w14:solidFill>
                    <w14:schemeClr w14:val="tx1"/>
                  </w14:solidFill>
                </w14:textFill>
              </w:rPr>
              <w:t>0</w:t>
            </w:r>
          </w:p>
        </w:tc>
        <w:tc>
          <w:tcPr>
            <w:tcW w:w="606" w:type="dxa"/>
            <w:tcBorders>
              <w:tl2br w:val="nil"/>
              <w:tr2bl w:val="nil"/>
            </w:tcBorders>
            <w:tcMar>
              <w:top w:w="0" w:type="dxa"/>
              <w:left w:w="108" w:type="dxa"/>
              <w:bottom w:w="0" w:type="dxa"/>
              <w:right w:w="108" w:type="dxa"/>
            </w:tcMar>
            <w:vAlign w:val="center"/>
          </w:tcPr>
          <w:p>
            <w:pPr>
              <w:widowControl/>
              <w:jc w:val="cente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pPr>
            <w:r>
              <w:rPr>
                <w:rFonts w:hint="eastAsia" w:asciiTheme="minorEastAsia" w:hAnsiTheme="minorEastAsia" w:eastAsiaTheme="minorEastAsia" w:cstheme="minorEastAsia"/>
                <w:color w:val="000000" w:themeColor="text1"/>
                <w:kern w:val="0"/>
                <w:sz w:val="22"/>
                <w:szCs w:val="22"/>
                <w:lang w:val="en-US" w:eastAsia="zh-CN"/>
                <w14:textFill>
                  <w14:solidFill>
                    <w14:schemeClr w14:val="tx1"/>
                  </w14:solidFill>
                </w14:textFill>
              </w:rPr>
              <w:t>0</w:t>
            </w:r>
          </w:p>
        </w:tc>
      </w:tr>
    </w:tbl>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000000" w:themeColor="text1"/>
          <w:kern w:val="0"/>
          <w:sz w:val="32"/>
          <w:szCs w:val="32"/>
          <w14:textFill>
            <w14:solidFill>
              <w14:schemeClr w14:val="tx1"/>
            </w14:solidFill>
          </w14:textFill>
        </w:rPr>
      </w:pPr>
      <w:r>
        <w:rPr>
          <w:rFonts w:hint="eastAsia" w:ascii="黑体" w:hAnsi="黑体" w:eastAsia="黑体" w:cs="黑体"/>
          <w:b w:val="0"/>
          <w:bCs w:val="0"/>
          <w:color w:val="000000" w:themeColor="text1"/>
          <w:kern w:val="0"/>
          <w:sz w:val="32"/>
          <w:szCs w:val="32"/>
          <w14:textFill>
            <w14:solidFill>
              <w14:schemeClr w14:val="tx1"/>
            </w14:solidFill>
          </w14:textFill>
        </w:rPr>
        <w:t>五、存在的主要问题及改进情况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46" w:beforeAutospacing="0" w:after="0" w:afterAutospacing="0" w:line="555" w:lineRule="atLeast"/>
        <w:ind w:left="0" w:right="0" w:firstLine="640" w:firstLineChars="200"/>
        <w:jc w:val="both"/>
        <w:textAlignment w:val="auto"/>
        <w:rPr>
          <w:rFonts w:hint="default" w:ascii="仿宋_GB2312" w:hAnsi="仿宋_GB2312" w:eastAsia="仿宋_GB2312" w:cs="仿宋_GB2312"/>
          <w:color w:val="000000" w:themeColor="text1"/>
          <w:kern w:val="0"/>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2023面我局政务信息公开虽然取得了一定成绩，但离上级工作要求和群众的期望仍存在一定差距，主要表现在信息公开内容和质量有待提升，宣传力度不大，政策解读形式不够丰富。结合存在的问题，2024年我们将在公开的实效和质量上下功夫，进一步丰富解读内容和形式，对群众关注度较高的政策文件</w:t>
      </w:r>
      <w:r>
        <w:rPr>
          <w:rFonts w:ascii="仿宋_GB2312" w:hAnsi="宋体" w:eastAsia="仿宋_GB2312" w:cs="仿宋_GB2312"/>
          <w:i w:val="0"/>
          <w:iCs w:val="0"/>
          <w:caps w:val="0"/>
          <w:color w:val="000000"/>
          <w:spacing w:val="0"/>
          <w:sz w:val="32"/>
          <w:szCs w:val="32"/>
          <w:shd w:val="clear" w:fill="FFFFFF"/>
        </w:rPr>
        <w:t>使用</w:t>
      </w:r>
      <w:r>
        <w:rPr>
          <w:rFonts w:hint="eastAsia" w:ascii="仿宋_GB2312" w:hAnsi="宋体" w:eastAsia="仿宋_GB2312" w:cs="仿宋_GB2312"/>
          <w:i w:val="0"/>
          <w:iCs w:val="0"/>
          <w:caps w:val="0"/>
          <w:color w:val="000000"/>
          <w:spacing w:val="0"/>
          <w:sz w:val="32"/>
          <w:szCs w:val="32"/>
          <w:shd w:val="clear" w:fill="FFFFFF"/>
          <w:lang w:val="en-US" w:eastAsia="zh-CN"/>
        </w:rPr>
        <w:t>简单明了的方式进行解读</w:t>
      </w:r>
      <w:r>
        <w:rPr>
          <w:rFonts w:ascii="仿宋_GB2312" w:hAnsi="宋体" w:eastAsia="仿宋_GB2312" w:cs="仿宋_GB2312"/>
          <w:i w:val="0"/>
          <w:iCs w:val="0"/>
          <w:caps w:val="0"/>
          <w:color w:val="000000"/>
          <w:spacing w:val="0"/>
          <w:sz w:val="32"/>
          <w:szCs w:val="32"/>
          <w:shd w:val="clear" w:fill="FFFFFF"/>
        </w:rPr>
        <w:t>，让群众看得懂、用得上</w:t>
      </w:r>
      <w:r>
        <w:rPr>
          <w:rFonts w:hint="eastAsia" w:ascii="仿宋_GB2312" w:hAnsi="宋体"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color w:val="000000" w:themeColor="text1"/>
          <w:kern w:val="0"/>
          <w:sz w:val="32"/>
          <w:szCs w:val="32"/>
          <w:lang w:val="en-US" w:eastAsia="zh-CN" w:bidi="ar"/>
          <w14:textFill>
            <w14:solidFill>
              <w14:schemeClr w14:val="tx1"/>
            </w14:solidFill>
          </w14:textFill>
        </w:rPr>
        <w:t>加强信息公开人员的业务学习，确保信息公开准确、及时、规范，不断提升信息公开工作水平。</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六、其他需要报告的事项</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638" w:leftChars="304" w:firstLine="0" w:firstLineChars="0"/>
        <w:textAlignment w:val="auto"/>
        <w:rPr>
          <w:rFonts w:hint="default" w:ascii="仿宋_GB2312" w:hAnsi="微软雅黑" w:eastAsia="仿宋_GB2312" w:cs="仿宋_GB2312"/>
          <w:spacing w:val="0"/>
          <w:sz w:val="31"/>
          <w:szCs w:val="31"/>
          <w:shd w:val="clear" w:fill="FFFFFF"/>
          <w:lang w:val="en-US" w:eastAsia="zh-CN"/>
        </w:rPr>
      </w:pP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我单位今年未发生收取信息处理费的情况。</w:t>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br w:type="textWrapping"/>
      </w:r>
      <w:r>
        <w:rPr>
          <w:rFonts w:hint="eastAsia" w:ascii="仿宋_GB2312" w:hAnsi="仿宋_GB2312" w:eastAsia="仿宋_GB2312" w:cs="仿宋_GB2312"/>
          <w:b w:val="0"/>
          <w:bCs w:val="0"/>
          <w:color w:val="000000" w:themeColor="text1"/>
          <w:kern w:val="0"/>
          <w:sz w:val="32"/>
          <w:szCs w:val="32"/>
          <w:lang w:val="en-US" w:eastAsia="zh-CN"/>
          <w14:textFill>
            <w14:solidFill>
              <w14:schemeClr w14:val="tx1"/>
            </w14:solidFill>
          </w14:textFill>
        </w:rPr>
        <w:t>本年度无其他需要报告的事项。</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3D4413"/>
    <w:multiLevelType w:val="singleLevel"/>
    <w:tmpl w:val="7B3D441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yNGI1N2YyMjUwNmI1ODU1M2M2ZmRmMzQwMTE0MDUifQ=="/>
    <w:docVar w:name="KSO_WPS_MARK_KEY" w:val="08d9c703-61e9-4b31-aef3-a9094546756f"/>
  </w:docVars>
  <w:rsids>
    <w:rsidRoot w:val="61EF3985"/>
    <w:rsid w:val="00F81899"/>
    <w:rsid w:val="043560E9"/>
    <w:rsid w:val="056931A3"/>
    <w:rsid w:val="067C3BA2"/>
    <w:rsid w:val="082C4DEE"/>
    <w:rsid w:val="08881B34"/>
    <w:rsid w:val="08EC3AD0"/>
    <w:rsid w:val="097A1359"/>
    <w:rsid w:val="0D440C9E"/>
    <w:rsid w:val="108C622A"/>
    <w:rsid w:val="11EF25CE"/>
    <w:rsid w:val="16F957BF"/>
    <w:rsid w:val="17C435D6"/>
    <w:rsid w:val="1B8E22B4"/>
    <w:rsid w:val="1BAD5FE6"/>
    <w:rsid w:val="20DB3E99"/>
    <w:rsid w:val="230D5CE4"/>
    <w:rsid w:val="233B0D8B"/>
    <w:rsid w:val="24746BFB"/>
    <w:rsid w:val="24AC350E"/>
    <w:rsid w:val="24C869C7"/>
    <w:rsid w:val="27C17769"/>
    <w:rsid w:val="2BC21B15"/>
    <w:rsid w:val="2E0C5810"/>
    <w:rsid w:val="2E6D706D"/>
    <w:rsid w:val="30637F0B"/>
    <w:rsid w:val="31506E81"/>
    <w:rsid w:val="33471FBE"/>
    <w:rsid w:val="37D55400"/>
    <w:rsid w:val="3A4D3F39"/>
    <w:rsid w:val="3A7408D1"/>
    <w:rsid w:val="3F6E7DC7"/>
    <w:rsid w:val="40B7508E"/>
    <w:rsid w:val="410F0C84"/>
    <w:rsid w:val="42B63B44"/>
    <w:rsid w:val="42FB359F"/>
    <w:rsid w:val="4C3861DB"/>
    <w:rsid w:val="51D70605"/>
    <w:rsid w:val="52BD6095"/>
    <w:rsid w:val="562E0707"/>
    <w:rsid w:val="58AE5177"/>
    <w:rsid w:val="58D1214B"/>
    <w:rsid w:val="5A327605"/>
    <w:rsid w:val="5D4546FC"/>
    <w:rsid w:val="5ED10386"/>
    <w:rsid w:val="5F2003BF"/>
    <w:rsid w:val="5F593BD9"/>
    <w:rsid w:val="604B17C5"/>
    <w:rsid w:val="61EF3985"/>
    <w:rsid w:val="64D07D28"/>
    <w:rsid w:val="657F562C"/>
    <w:rsid w:val="68190ABF"/>
    <w:rsid w:val="68197DBA"/>
    <w:rsid w:val="6A912870"/>
    <w:rsid w:val="6D341DD3"/>
    <w:rsid w:val="6F177379"/>
    <w:rsid w:val="70175705"/>
    <w:rsid w:val="71EE4FCD"/>
    <w:rsid w:val="723C5CB7"/>
    <w:rsid w:val="7569034A"/>
    <w:rsid w:val="778128D0"/>
    <w:rsid w:val="79394EAE"/>
    <w:rsid w:val="79E66D63"/>
    <w:rsid w:val="7A784482"/>
    <w:rsid w:val="7B8B58BF"/>
    <w:rsid w:val="7BC21947"/>
    <w:rsid w:val="7E6E6042"/>
    <w:rsid w:val="7FED2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autoRedefine/>
    <w:qFormat/>
    <w:uiPriority w:val="0"/>
    <w:rPr>
      <w:color w:val="333333"/>
      <w:u w:val="none"/>
    </w:rPr>
  </w:style>
  <w:style w:type="character" w:styleId="8">
    <w:name w:val="Hyperlink"/>
    <w:basedOn w:val="6"/>
    <w:autoRedefine/>
    <w:qFormat/>
    <w:uiPriority w:val="0"/>
    <w:rPr>
      <w:color w:val="333333"/>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2129</Words>
  <Characters>2219</Characters>
  <Lines>0</Lines>
  <Paragraphs>0</Paragraphs>
  <TotalTime>17</TotalTime>
  <ScaleCrop>false</ScaleCrop>
  <LinksUpToDate>false</LinksUpToDate>
  <CharactersWithSpaces>2228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2019-12-31T07:10:00Z</dcterms:created>
  <dc:creator>玄月~踏雪</dc:creator>
  <cp:lastModifiedBy>玄月~踏雪</cp:lastModifiedBy>
  <cp:lastPrinted>2024-01-18T02:16:00Z</cp:lastPrinted>
  <dcterms:modified xsi:type="dcterms:W3CDTF">2024-01-18T03:05:22Z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3DAC43424AE04127B3D11FA42CEBB3E0</vt:lpwstr>
  </property>
</Properties>
</file>