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center"/>
        <w:textAlignment w:val="baseline"/>
        <w:rPr>
          <w:rFonts w:hint="eastAsia" w:ascii="方正小标宋简体" w:hAnsi="方正小标宋简体" w:eastAsia="方正小标宋简体" w:cs="方正小标宋简体"/>
          <w:i w:val="0"/>
          <w:iCs w:val="0"/>
          <w:caps w:val="0"/>
          <w:color w:val="333333"/>
          <w:spacing w:val="0"/>
          <w:sz w:val="36"/>
          <w:szCs w:val="36"/>
          <w:u w:val="none"/>
          <w:bdr w:val="none" w:color="auto" w:sz="0" w:space="0"/>
          <w:shd w:val="clear" w:fill="FFFFFF"/>
          <w:vertAlign w:val="baseline"/>
        </w:rPr>
      </w:pPr>
      <w:bookmarkStart w:id="0" w:name="_GoBack"/>
      <w:r>
        <w:rPr>
          <w:rFonts w:hint="eastAsia" w:ascii="方正小标宋简体" w:hAnsi="方正小标宋简体" w:eastAsia="方正小标宋简体" w:cs="方正小标宋简体"/>
          <w:i w:val="0"/>
          <w:iCs w:val="0"/>
          <w:caps w:val="0"/>
          <w:color w:val="242424"/>
          <w:spacing w:val="0"/>
          <w:sz w:val="36"/>
          <w:szCs w:val="36"/>
          <w:shd w:val="clear" w:fill="FFFFFF"/>
        </w:rPr>
        <w:t>靖安县卫健委2021年政府信息公开工作年度报告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ascii="仿宋_GB2312" w:hAnsi="仿宋_GB2312" w:eastAsia="仿宋_GB2312" w:cs="仿宋_GB2312"/>
          <w:i w:val="0"/>
          <w:iCs w:val="0"/>
          <w:caps w:val="0"/>
          <w:color w:val="333333"/>
          <w:spacing w:val="0"/>
          <w:sz w:val="31"/>
          <w:szCs w:val="31"/>
          <w:u w:val="none"/>
          <w:bdr w:val="none" w:color="auto" w:sz="0" w:space="0"/>
          <w:shd w:val="clear" w:fill="FFFFFF"/>
          <w:vertAlign w:val="baseline"/>
        </w:rPr>
        <w:t>本报告依据《中华人民共和国政府信息公开条例》（国务院令第</w:t>
      </w: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711号，以下简称新《条例》）和《国务院办公厅政府信息与政务公开办公室关于政府信息公开工作年度报告有关事项的通知》（国办公开办函〔2019〕60号）要求，由靖安县卫健委办公室结合有关统计数据编制。本年度报告中所列数据的统计期限自2021年1月1日起至2021年12月31日止。报告包括总体情况、主动公开政府信息情况、收到和处理政府信息公开申请情况、政府信息公开行政复议行政诉讼情况、存在的主要问题及改进情况、其他需要报告的事项。如对本报告有任何疑问，请与靖安县卫健委办公室联系（地址：靖安县清华大道16号，电话：0795-4662710，邮编：330699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ascii="黑体" w:hAnsi="宋体" w:eastAsia="黑体" w:cs="黑体"/>
          <w:i w:val="0"/>
          <w:iCs w:val="0"/>
          <w:caps w:val="0"/>
          <w:color w:val="333333"/>
          <w:spacing w:val="0"/>
          <w:sz w:val="31"/>
          <w:szCs w:val="31"/>
          <w:u w:val="none"/>
          <w:bdr w:val="none" w:color="auto" w:sz="0" w:space="0"/>
          <w:shd w:val="clear" w:fill="FFFFFF"/>
          <w:vertAlign w:val="baseline"/>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2021年靖安县卫健委坚持以习近平新时代中国特色社会主义思想为指导，深入贯彻党的十九大和十九届六中全会精神，严格落实《国务院办公厅印发〈关于全面推进政务公开工作的意见〉实施细则的通知》（国办发〔2016〕80号）。同时紧紧围绕省、宜春市、靖安县政务公开工作要求及社会群众关注关切，进一步加大工作力度，健全组织领导和完善机制建设，加强政务公开标准化规范化建设工作，坚持以“公开为常态，不公开为例外”的原则完成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卫健委高度重视政务公开工作，利用电子屏幕、微信公众号等方式进行宣传，引导广大干部群众学习、了解新《条例》，进一步提高大家对政府信息公开工作重要性的认识，营造政府信息公开浓厚氛围。积极组织信息公开工作人员参加政务信息公开工作的培训、学习。不断完善公开制度，推进政务公开标准化规范化建设工作，全力保证了政务公开信息的准确性，有效提高了为群众服务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ascii="楷体_GB2312" w:hAnsi="楷体_GB2312" w:eastAsia="楷体_GB2312" w:cs="楷体_GB2312"/>
          <w:i w:val="0"/>
          <w:iCs w:val="0"/>
          <w:caps w:val="0"/>
          <w:color w:val="333333"/>
          <w:spacing w:val="0"/>
          <w:sz w:val="31"/>
          <w:szCs w:val="31"/>
          <w:u w:val="none"/>
          <w:bdr w:val="none" w:color="auto" w:sz="0" w:space="0"/>
          <w:shd w:val="clear" w:fill="FFFFFF"/>
          <w:vertAlign w:val="baseline"/>
        </w:rPr>
        <w:t>（</w:t>
      </w:r>
      <w:r>
        <w:rPr>
          <w:rFonts w:hint="eastAsia" w:ascii="楷体_GB2312" w:hAnsi="楷体_GB2312" w:eastAsia="楷体_GB2312" w:cs="楷体_GB2312"/>
          <w:i w:val="0"/>
          <w:iCs w:val="0"/>
          <w:caps w:val="0"/>
          <w:color w:val="333333"/>
          <w:spacing w:val="0"/>
          <w:sz w:val="31"/>
          <w:szCs w:val="31"/>
          <w:u w:val="none"/>
          <w:bdr w:val="none" w:color="auto" w:sz="0" w:space="0"/>
          <w:shd w:val="clear" w:fill="FFFFFF"/>
          <w:vertAlign w:val="baseline"/>
        </w:rPr>
        <w:t>一）主动公开政府信息情况。</w:t>
      </w: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2021年度我委共主动公开政府信息92条，其中，建议提案办理13条、医疗卫生10条、回应关切3条、科学防控27条、通知公告、监督检查35条、发热门诊、隔离点等信息2条、工作落实情况公开1条。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楷体_GB2312" w:eastAsia="楷体_GB2312" w:cs="楷体_GB2312"/>
          <w:i w:val="0"/>
          <w:iCs w:val="0"/>
          <w:caps w:val="0"/>
          <w:color w:val="333333"/>
          <w:spacing w:val="0"/>
          <w:sz w:val="31"/>
          <w:szCs w:val="31"/>
          <w:u w:val="none"/>
          <w:bdr w:val="none" w:color="auto" w:sz="0" w:space="0"/>
          <w:shd w:val="clear" w:fill="FFFFFF"/>
          <w:vertAlign w:val="baseline"/>
        </w:rPr>
        <w:t>（二）依申请公开政府信息情况。</w:t>
      </w: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2021靖安县卫健委未收到依申请公开。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楷体_GB2312" w:eastAsia="楷体_GB2312" w:cs="楷体_GB2312"/>
          <w:i w:val="0"/>
          <w:iCs w:val="0"/>
          <w:caps w:val="0"/>
          <w:color w:val="333333"/>
          <w:spacing w:val="0"/>
          <w:sz w:val="31"/>
          <w:szCs w:val="31"/>
          <w:u w:val="none"/>
          <w:bdr w:val="none" w:color="auto" w:sz="0" w:space="0"/>
          <w:shd w:val="clear" w:fill="FFFFFF"/>
          <w:vertAlign w:val="baseline"/>
        </w:rPr>
        <w:t>（三）政府信息管理。</w:t>
      </w: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为做好政务公开工作，靖安县卫健委成立了以主要领导为组长，分管领导为副组长的政府信息公开领导小组，安排了熟悉业务、责任心强的工作人员专门负责政务信息的收集、整理和公开。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楷体_GB2312" w:eastAsia="楷体_GB2312" w:cs="楷体_GB2312"/>
          <w:i w:val="0"/>
          <w:iCs w:val="0"/>
          <w:caps w:val="0"/>
          <w:color w:val="333333"/>
          <w:spacing w:val="0"/>
          <w:sz w:val="31"/>
          <w:szCs w:val="31"/>
          <w:u w:val="none"/>
          <w:bdr w:val="none" w:color="auto" w:sz="0" w:space="0"/>
          <w:shd w:val="clear" w:fill="FFFFFF"/>
          <w:vertAlign w:val="baseline"/>
        </w:rPr>
        <w:t>（四）平台建设。</w:t>
      </w: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做好政府网站卫生健康和疫情防控等方面的内容更新，做到公开透明，提高群众知晓率。加强卫生健康知识普及，做好疫情防控常态化下疫情信息和防控措施发布工作。根据靖安县人民政府网站、靖安县政务信息公开平台的栏目设置，对各栏目的更新周期做了限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楷体_GB2312" w:eastAsia="楷体_GB2312" w:cs="楷体_GB2312"/>
          <w:i w:val="0"/>
          <w:iCs w:val="0"/>
          <w:caps w:val="0"/>
          <w:color w:val="333333"/>
          <w:spacing w:val="0"/>
          <w:sz w:val="31"/>
          <w:szCs w:val="31"/>
          <w:u w:val="none"/>
          <w:bdr w:val="none" w:color="auto" w:sz="0" w:space="0"/>
          <w:shd w:val="clear" w:fill="FFFFFF"/>
          <w:vertAlign w:val="baseline"/>
        </w:rPr>
        <w:t>（五）监督保障。</w:t>
      </w: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为进一步规范靖安县卫健委政府信息公开工作，制定了政府信息主动公开制度、政府信息公开工作考核制度、政府信息依申请公开制度等制度，进一步明确了政府信息公开工作要求及原则。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333333"/>
          <w:spacing w:val="0"/>
          <w:sz w:val="31"/>
          <w:szCs w:val="31"/>
          <w:u w:val="none"/>
          <w:bdr w:val="none" w:color="auto" w:sz="0" w:space="0"/>
          <w:shd w:val="clear" w:fill="FFFFFF"/>
          <w:vertAlign w:val="baseline"/>
        </w:rPr>
        <w:t>二、主动公开政府信息情况</w:t>
      </w:r>
    </w:p>
    <w:tbl>
      <w:tblPr>
        <w:tblW w:w="81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65"/>
        <w:gridCol w:w="1755"/>
        <w:gridCol w:w="2100"/>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blCellSpacing w:w="0" w:type="dxa"/>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85" w:hRule="atLeast"/>
          <w:tblCellSpacing w:w="0" w:type="dxa"/>
        </w:trPr>
        <w:tc>
          <w:tcPr>
            <w:tcW w:w="1635" w:type="dxa"/>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信息内容</w:t>
            </w:r>
          </w:p>
        </w:tc>
        <w:tc>
          <w:tcPr>
            <w:tcW w:w="1740" w:type="dxa"/>
            <w:tcBorders>
              <w:top w:val="single" w:color="000000" w:sz="6" w:space="0"/>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本年制发件数</w:t>
            </w:r>
          </w:p>
        </w:tc>
        <w:tc>
          <w:tcPr>
            <w:tcW w:w="21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本年废止件数</w:t>
            </w:r>
          </w:p>
        </w:tc>
        <w:tc>
          <w:tcPr>
            <w:tcW w:w="2655" w:type="dxa"/>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25" w:hRule="atLeast"/>
          <w:tblCellSpacing w:w="0" w:type="dxa"/>
        </w:trPr>
        <w:tc>
          <w:tcPr>
            <w:tcW w:w="1635" w:type="dxa"/>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规章</w:t>
            </w:r>
          </w:p>
        </w:tc>
        <w:tc>
          <w:tcPr>
            <w:tcW w:w="1740" w:type="dxa"/>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Fonts w:ascii="微软雅黑" w:hAnsi="微软雅黑" w:eastAsia="微软雅黑" w:cs="微软雅黑"/>
                <w:i w:val="0"/>
                <w:iCs w:val="0"/>
                <w:caps w:val="0"/>
                <w:color w:val="333333"/>
                <w:spacing w:val="0"/>
                <w:sz w:val="21"/>
                <w:szCs w:val="21"/>
                <w:u w:val="none"/>
                <w:bdr w:val="none" w:color="auto" w:sz="0" w:space="0"/>
                <w:vertAlign w:val="baseline"/>
              </w:rPr>
              <w:t>0</w:t>
            </w:r>
          </w:p>
        </w:tc>
        <w:tc>
          <w:tcPr>
            <w:tcW w:w="21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Fonts w:hint="eastAsia" w:ascii="微软雅黑" w:hAnsi="微软雅黑" w:eastAsia="微软雅黑" w:cs="微软雅黑"/>
                <w:i w:val="0"/>
                <w:iCs w:val="0"/>
                <w:caps w:val="0"/>
                <w:color w:val="333333"/>
                <w:spacing w:val="0"/>
                <w:sz w:val="21"/>
                <w:szCs w:val="21"/>
                <w:u w:val="none"/>
                <w:bdr w:val="none" w:color="auto" w:sz="0" w:space="0"/>
                <w:vertAlign w:val="baseline"/>
              </w:rPr>
              <w:t>0</w:t>
            </w:r>
          </w:p>
        </w:tc>
        <w:tc>
          <w:tcPr>
            <w:tcW w:w="2655" w:type="dxa"/>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Fonts w:hint="eastAsia" w:ascii="微软雅黑" w:hAnsi="微软雅黑" w:eastAsia="微软雅黑" w:cs="微软雅黑"/>
                <w:i w:val="0"/>
                <w:iCs w:val="0"/>
                <w:caps w:val="0"/>
                <w:color w:val="333333"/>
                <w:spacing w:val="0"/>
                <w:sz w:val="21"/>
                <w:szCs w:val="21"/>
                <w:u w:val="none"/>
                <w:bdr w:val="none" w:color="auto" w:sz="0" w:space="0"/>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0" w:type="dxa"/>
        </w:trPr>
        <w:tc>
          <w:tcPr>
            <w:tcW w:w="1635" w:type="dxa"/>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规范性文件</w:t>
            </w:r>
          </w:p>
        </w:tc>
        <w:tc>
          <w:tcPr>
            <w:tcW w:w="1740" w:type="dxa"/>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Fonts w:hint="eastAsia" w:ascii="微软雅黑" w:hAnsi="微软雅黑" w:eastAsia="微软雅黑" w:cs="微软雅黑"/>
                <w:i w:val="0"/>
                <w:iCs w:val="0"/>
                <w:caps w:val="0"/>
                <w:color w:val="333333"/>
                <w:spacing w:val="0"/>
                <w:sz w:val="21"/>
                <w:szCs w:val="21"/>
                <w:u w:val="none"/>
                <w:bdr w:val="none" w:color="auto" w:sz="0" w:space="0"/>
                <w:vertAlign w:val="baseline"/>
              </w:rPr>
              <w:t>0</w:t>
            </w:r>
          </w:p>
        </w:tc>
        <w:tc>
          <w:tcPr>
            <w:tcW w:w="21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Fonts w:hint="eastAsia" w:ascii="微软雅黑" w:hAnsi="微软雅黑" w:eastAsia="微软雅黑" w:cs="微软雅黑"/>
                <w:i w:val="0"/>
                <w:iCs w:val="0"/>
                <w:caps w:val="0"/>
                <w:color w:val="333333"/>
                <w:spacing w:val="0"/>
                <w:sz w:val="21"/>
                <w:szCs w:val="21"/>
                <w:u w:val="none"/>
                <w:bdr w:val="none" w:color="auto" w:sz="0" w:space="0"/>
                <w:vertAlign w:val="baseline"/>
              </w:rPr>
              <w:t>0</w:t>
            </w:r>
          </w:p>
        </w:tc>
        <w:tc>
          <w:tcPr>
            <w:tcW w:w="2655" w:type="dxa"/>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Fonts w:hint="eastAsia" w:ascii="微软雅黑" w:hAnsi="微软雅黑" w:eastAsia="微软雅黑" w:cs="微软雅黑"/>
                <w:i w:val="0"/>
                <w:iCs w:val="0"/>
                <w:caps w:val="0"/>
                <w:color w:val="333333"/>
                <w:spacing w:val="0"/>
                <w:sz w:val="21"/>
                <w:szCs w:val="21"/>
                <w:u w:val="none"/>
                <w:bdr w:val="none" w:color="auto" w:sz="0" w:space="0"/>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blCellSpacing w:w="0" w:type="dxa"/>
        </w:trPr>
        <w:tc>
          <w:tcPr>
            <w:tcW w:w="1635" w:type="dxa"/>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信息内容</w:t>
            </w:r>
          </w:p>
        </w:tc>
        <w:tc>
          <w:tcPr>
            <w:tcW w:w="6510" w:type="dxa"/>
            <w:gridSpan w:val="3"/>
            <w:tcBorders>
              <w:top w:val="single" w:color="000000" w:sz="6" w:space="0"/>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blCellSpacing w:w="0" w:type="dxa"/>
        </w:trPr>
        <w:tc>
          <w:tcPr>
            <w:tcW w:w="1635" w:type="dxa"/>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行政许可</w:t>
            </w:r>
          </w:p>
        </w:tc>
        <w:tc>
          <w:tcPr>
            <w:tcW w:w="6510" w:type="dxa"/>
            <w:gridSpan w:val="3"/>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Fonts w:hint="eastAsia" w:ascii="微软雅黑" w:hAnsi="微软雅黑" w:eastAsia="微软雅黑" w:cs="微软雅黑"/>
                <w:i w:val="0"/>
                <w:iCs w:val="0"/>
                <w:caps w:val="0"/>
                <w:color w:val="333333"/>
                <w:spacing w:val="0"/>
                <w:sz w:val="21"/>
                <w:szCs w:val="21"/>
                <w:u w:val="none"/>
                <w:bdr w:val="none" w:color="auto" w:sz="0" w:space="0"/>
                <w:vertAlign w:val="baseline"/>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0" w:type="dxa"/>
        </w:trPr>
        <w:tc>
          <w:tcPr>
            <w:tcW w:w="1635" w:type="dxa"/>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信息内容</w:t>
            </w:r>
          </w:p>
        </w:tc>
        <w:tc>
          <w:tcPr>
            <w:tcW w:w="6510" w:type="dxa"/>
            <w:gridSpan w:val="3"/>
            <w:tcBorders>
              <w:top w:val="nil"/>
              <w:left w:val="nil"/>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0" w:type="dxa"/>
        </w:trPr>
        <w:tc>
          <w:tcPr>
            <w:tcW w:w="1635" w:type="dxa"/>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行政处罚</w:t>
            </w:r>
          </w:p>
        </w:tc>
        <w:tc>
          <w:tcPr>
            <w:tcW w:w="6510" w:type="dxa"/>
            <w:gridSpan w:val="3"/>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Fonts w:hint="eastAsia" w:ascii="微软雅黑" w:hAnsi="微软雅黑" w:eastAsia="微软雅黑" w:cs="微软雅黑"/>
                <w:i w:val="0"/>
                <w:iCs w:val="0"/>
                <w:caps w:val="0"/>
                <w:color w:val="333333"/>
                <w:spacing w:val="0"/>
                <w:sz w:val="21"/>
                <w:szCs w:val="21"/>
                <w:u w:val="none"/>
                <w:bdr w:val="none" w:color="auto" w:sz="0" w:space="0"/>
                <w:vertAlign w:val="baseline"/>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0" w:type="dxa"/>
        </w:trPr>
        <w:tc>
          <w:tcPr>
            <w:tcW w:w="1635" w:type="dxa"/>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行政强制</w:t>
            </w:r>
          </w:p>
        </w:tc>
        <w:tc>
          <w:tcPr>
            <w:tcW w:w="6510" w:type="dxa"/>
            <w:gridSpan w:val="3"/>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Fonts w:hint="eastAsia" w:ascii="微软雅黑" w:hAnsi="微软雅黑" w:eastAsia="微软雅黑" w:cs="微软雅黑"/>
                <w:i w:val="0"/>
                <w:iCs w:val="0"/>
                <w:caps w:val="0"/>
                <w:color w:val="333333"/>
                <w:spacing w:val="0"/>
                <w:sz w:val="21"/>
                <w:szCs w:val="21"/>
                <w:u w:val="none"/>
                <w:bdr w:val="none" w:color="auto" w:sz="0" w:space="0"/>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0" w:type="dxa"/>
        </w:trPr>
        <w:tc>
          <w:tcPr>
            <w:tcW w:w="1635" w:type="dxa"/>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信息内容</w:t>
            </w:r>
          </w:p>
        </w:tc>
        <w:tc>
          <w:tcPr>
            <w:tcW w:w="6510" w:type="dxa"/>
            <w:gridSpan w:val="3"/>
            <w:tcBorders>
              <w:top w:val="nil"/>
              <w:left w:val="nil"/>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blCellSpacing w:w="0" w:type="dxa"/>
        </w:trPr>
        <w:tc>
          <w:tcPr>
            <w:tcW w:w="1635" w:type="dxa"/>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i w:val="0"/>
                <w:iCs w:val="0"/>
                <w:color w:val="505050"/>
                <w:u w:val="none"/>
              </w:rPr>
            </w:pPr>
            <w:r>
              <w:rPr>
                <w:rStyle w:val="5"/>
                <w:rFonts w:hint="eastAsia" w:ascii="宋体" w:hAnsi="宋体" w:eastAsia="宋体" w:cs="宋体"/>
                <w:i w:val="0"/>
                <w:iCs w:val="0"/>
                <w:caps w:val="0"/>
                <w:color w:val="333333"/>
                <w:spacing w:val="0"/>
                <w:sz w:val="18"/>
                <w:szCs w:val="18"/>
                <w:u w:val="none"/>
                <w:bdr w:val="none" w:color="auto" w:sz="0" w:space="0"/>
                <w:vertAlign w:val="baseline"/>
              </w:rPr>
              <w:t>行政事业性收费</w:t>
            </w:r>
          </w:p>
        </w:tc>
        <w:tc>
          <w:tcPr>
            <w:tcW w:w="6510" w:type="dxa"/>
            <w:gridSpan w:val="3"/>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24"/>
                <w:szCs w:val="24"/>
                <w:u w:val="none"/>
                <w:bdr w:val="none" w:color="auto" w:sz="0" w:space="0"/>
                <w:vertAlign w:val="baseline"/>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333333"/>
          <w:spacing w:val="0"/>
          <w:sz w:val="31"/>
          <w:szCs w:val="31"/>
          <w:u w:val="none"/>
          <w:bdr w:val="none" w:color="auto" w:sz="0" w:space="0"/>
          <w:shd w:val="clear" w:fill="FFFFFF"/>
          <w:vertAlign w:val="baseline"/>
        </w:rPr>
        <w:t>三、收到和处理政府信息公开申请情况</w:t>
      </w:r>
    </w:p>
    <w:tbl>
      <w:tblPr>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20"/>
        <w:gridCol w:w="855"/>
        <w:gridCol w:w="2078"/>
        <w:gridCol w:w="808"/>
        <w:gridCol w:w="748"/>
        <w:gridCol w:w="748"/>
        <w:gridCol w:w="808"/>
        <w:gridCol w:w="972"/>
        <w:gridCol w:w="718"/>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3553"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（本列数据的勾稽关系为：第一项加第二项之和，等于第三项加第四项之和）</w:t>
            </w:r>
          </w:p>
        </w:tc>
        <w:tc>
          <w:tcPr>
            <w:tcW w:w="5522" w:type="dxa"/>
            <w:gridSpan w:val="7"/>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3553"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08"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自然人</w:t>
            </w:r>
          </w:p>
        </w:tc>
        <w:tc>
          <w:tcPr>
            <w:tcW w:w="3994" w:type="dxa"/>
            <w:gridSpan w:val="5"/>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法人或其他组织</w:t>
            </w:r>
          </w:p>
        </w:tc>
        <w:tc>
          <w:tcPr>
            <w:tcW w:w="720" w:type="dxa"/>
            <w:vMerge w:val="restar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3553"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08"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商业企业</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科研机构</w:t>
            </w:r>
          </w:p>
        </w:tc>
        <w:tc>
          <w:tcPr>
            <w:tcW w:w="80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社会公益组织</w:t>
            </w:r>
          </w:p>
        </w:tc>
        <w:tc>
          <w:tcPr>
            <w:tcW w:w="972"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法律服务机构</w:t>
            </w:r>
          </w:p>
        </w:tc>
        <w:tc>
          <w:tcPr>
            <w:tcW w:w="71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其他</w:t>
            </w:r>
          </w:p>
        </w:tc>
        <w:tc>
          <w:tcPr>
            <w:tcW w:w="720" w:type="dxa"/>
            <w:vMerge w:val="continue"/>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3553"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一、本年新收政府信息公开申请数量</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ascii="Calibri" w:hAnsi="Calibri" w:eastAsia="Calibri" w:cs="Calibri"/>
                <w:i w:val="0"/>
                <w:iCs w:val="0"/>
                <w:caps w:val="0"/>
                <w:color w:val="333333"/>
                <w:spacing w:val="0"/>
                <w:sz w:val="19"/>
                <w:szCs w:val="19"/>
                <w:u w:val="none"/>
                <w:bdr w:val="none" w:color="auto" w:sz="0" w:space="0"/>
                <w:vertAlign w:val="baseline"/>
              </w:rPr>
              <w:t> </w:t>
            </w: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3553"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二、上年结转政府信息公开申请数量</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三、本年度办理结果</w:t>
            </w:r>
          </w:p>
        </w:tc>
        <w:tc>
          <w:tcPr>
            <w:tcW w:w="2933"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ascii="楷体" w:hAnsi="楷体" w:eastAsia="楷体" w:cs="楷体"/>
                <w:i w:val="0"/>
                <w:iCs w:val="0"/>
                <w:caps w:val="0"/>
                <w:color w:val="333333"/>
                <w:spacing w:val="0"/>
                <w:sz w:val="19"/>
                <w:szCs w:val="19"/>
                <w:u w:val="none"/>
                <w:bdr w:val="none" w:color="auto" w:sz="0" w:space="0"/>
                <w:vertAlign w:val="baseline"/>
              </w:rPr>
              <w:t>（一）予以公开</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933"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（二）部分公开（区分处理的，只计这一情形，不计其他情形）</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（三）不予公开</w:t>
            </w: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1.属于国家秘密</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2.其他法律行政法规禁止公开</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3.危及“三安全一稳定”</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4.保护第三方合法权益</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5.属于三类内部事务信息</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6.属于四类过程性信息</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7.属于行政执法案卷</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8.属于行政查询事项</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（四）无法提供</w:t>
            </w: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1.本机关不掌握相关政府信息</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2.没有现成信息需要另行制作</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3.补正后申请内容仍不明确</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（五）不予处理</w:t>
            </w: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1.信访举报投诉类申请</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2.重复申请</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3.要求提供公开出版物</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4.无正当理由大量反复申请</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5.要求行政机关确认或重新出具已获取信息</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restart"/>
            <w:tcBorders>
              <w:top w:val="single" w:color="auto" w:sz="4" w:space="0"/>
              <w:left w:val="single" w:color="auto" w:sz="4" w:space="0"/>
              <w:bottom w:val="nil"/>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（六）其他处理</w:t>
            </w:r>
          </w:p>
        </w:tc>
        <w:tc>
          <w:tcPr>
            <w:tcW w:w="2078" w:type="dxa"/>
            <w:tcBorders>
              <w:top w:val="single" w:color="auto" w:sz="4" w:space="0"/>
              <w:left w:val="nil"/>
              <w:bottom w:val="single" w:color="000000" w:sz="6" w:space="0"/>
              <w:right w:val="single" w:color="auto" w:sz="4"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1.申请人无正当理由逾期不补正、行政机关不再处理其政府信息公开申请</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855" w:type="dxa"/>
            <w:vMerge w:val="continue"/>
            <w:tcBorders>
              <w:top w:val="nil"/>
              <w:left w:val="single" w:color="auto" w:sz="4" w:space="0"/>
              <w:bottom w:val="single" w:color="auto" w:sz="4"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078" w:type="dxa"/>
            <w:tcBorders>
              <w:top w:val="nil"/>
              <w:left w:val="nil"/>
              <w:bottom w:val="single" w:color="auto" w:sz="4" w:space="0"/>
              <w:right w:val="single" w:color="auto" w:sz="4"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2.申请人逾期未按收费通知要求缴纳费用、行政机关不再处理其政府信息公开申请</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62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933" w:type="dxa"/>
            <w:gridSpan w:val="2"/>
            <w:tcBorders>
              <w:top w:val="nil"/>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楷体" w:hAnsi="楷体" w:eastAsia="楷体" w:cs="楷体"/>
                <w:i w:val="0"/>
                <w:iCs w:val="0"/>
                <w:caps w:val="0"/>
                <w:color w:val="333333"/>
                <w:spacing w:val="0"/>
                <w:sz w:val="19"/>
                <w:szCs w:val="19"/>
                <w:u w:val="none"/>
                <w:bdr w:val="none" w:color="auto" w:sz="0" w:space="0"/>
                <w:vertAlign w:val="baseline"/>
              </w:rPr>
              <w:t>（七）总计</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505050"/>
                <w:spacing w:val="0"/>
                <w:sz w:val="24"/>
                <w:szCs w:val="24"/>
                <w:u w:val="none"/>
                <w:bdr w:val="none" w:color="auto" w:sz="0" w:space="0"/>
                <w:vertAlign w:val="baseline"/>
              </w:rPr>
              <w:t>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eastAsia="宋体"/>
                <w:i w:val="0"/>
                <w:iCs w:val="0"/>
                <w:color w:val="505050"/>
                <w:u w:val="none"/>
                <w:lang w:val="en-US" w:eastAsia="zh-CN"/>
              </w:rPr>
            </w:pPr>
            <w:r>
              <w:rPr>
                <w:rFonts w:hint="default" w:ascii="Calibri" w:hAnsi="Calibri" w:eastAsia="Calibri" w:cs="Calibri"/>
                <w:i w:val="0"/>
                <w:iCs w:val="0"/>
                <w:caps w:val="0"/>
                <w:color w:val="505050"/>
                <w:spacing w:val="0"/>
                <w:sz w:val="24"/>
                <w:szCs w:val="24"/>
                <w:u w:val="none"/>
                <w:bdr w:val="none" w:color="auto" w:sz="0" w:space="0"/>
                <w:vertAlign w:val="baseline"/>
              </w:rPr>
              <w:t> </w:t>
            </w:r>
            <w:r>
              <w:rPr>
                <w:rFonts w:hint="eastAsia" w:ascii="Calibri" w:hAnsi="Calibri" w:eastAsia="宋体" w:cs="Calibri"/>
                <w:i w:val="0"/>
                <w:iCs w:val="0"/>
                <w:caps w:val="0"/>
                <w:color w:val="505050"/>
                <w:spacing w:val="0"/>
                <w:sz w:val="24"/>
                <w:szCs w:val="24"/>
                <w:u w:val="none"/>
                <w:bdr w:val="none" w:color="auto" w:sz="0" w:space="0"/>
                <w:vertAlign w:val="baseli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3553"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四、结转下年度继续办理</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7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w:t>
            </w:r>
          </w:p>
        </w:tc>
        <w:tc>
          <w:tcPr>
            <w:tcW w:w="80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9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71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7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both"/>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333333"/>
          <w:spacing w:val="0"/>
          <w:sz w:val="31"/>
          <w:szCs w:val="31"/>
          <w:u w:val="none"/>
          <w:bdr w:val="none" w:color="auto" w:sz="0" w:space="0"/>
          <w:shd w:val="clear" w:fill="FFFFFF"/>
          <w:vertAlign w:val="baseline"/>
        </w:rPr>
        <w:t>四、政府信息公开行政复议、行政诉讼情况</w:t>
      </w:r>
    </w:p>
    <w:tbl>
      <w:tblPr>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行政复议</w:t>
            </w:r>
          </w:p>
        </w:tc>
        <w:tc>
          <w:tcPr>
            <w:tcW w:w="6000" w:type="dxa"/>
            <w:gridSpan w:val="10"/>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0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结果维持</w:t>
            </w:r>
          </w:p>
        </w:tc>
        <w:tc>
          <w:tcPr>
            <w:tcW w:w="600"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总计</w:t>
            </w:r>
          </w:p>
        </w:tc>
        <w:tc>
          <w:tcPr>
            <w:tcW w:w="2970" w:type="dxa"/>
            <w:gridSpan w:val="5"/>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0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00" w:type="dxa"/>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60" w:type="dxa"/>
            <w:vMerge w:val="continue"/>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结果维持</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结果纠正</w:t>
            </w:r>
          </w:p>
        </w:tc>
        <w:tc>
          <w:tcPr>
            <w:tcW w:w="6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其他结果</w:t>
            </w:r>
          </w:p>
        </w:tc>
        <w:tc>
          <w:tcPr>
            <w:tcW w:w="6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尚未审结</w:t>
            </w:r>
          </w:p>
        </w:tc>
        <w:tc>
          <w:tcPr>
            <w:tcW w:w="6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总计</w:t>
            </w:r>
          </w:p>
        </w:tc>
        <w:tc>
          <w:tcPr>
            <w:tcW w:w="6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结果维持</w:t>
            </w:r>
          </w:p>
        </w:tc>
        <w:tc>
          <w:tcPr>
            <w:tcW w:w="6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结果纠正</w:t>
            </w:r>
          </w:p>
        </w:tc>
        <w:tc>
          <w:tcPr>
            <w:tcW w:w="6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其他结果</w:t>
            </w:r>
          </w:p>
        </w:tc>
        <w:tc>
          <w:tcPr>
            <w:tcW w:w="6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尚未审结</w:t>
            </w:r>
          </w:p>
        </w:tc>
        <w:tc>
          <w:tcPr>
            <w:tcW w:w="6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60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 0</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6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default" w:ascii="Calibri" w:hAnsi="Calibri" w:eastAsia="Calibri" w:cs="Calibri"/>
                <w:i w:val="0"/>
                <w:iCs w:val="0"/>
                <w:caps w:val="0"/>
                <w:color w:val="333333"/>
                <w:spacing w:val="0"/>
                <w:sz w:val="19"/>
                <w:szCs w:val="19"/>
                <w:u w:val="none"/>
                <w:bdr w:val="none" w:color="auto" w:sz="0" w:space="0"/>
                <w:vertAlign w:val="baseline"/>
              </w:rPr>
              <w:t>0 </w:t>
            </w:r>
          </w:p>
        </w:tc>
        <w:tc>
          <w:tcPr>
            <w:tcW w:w="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 0</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 0</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0</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0 </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0</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0</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0</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0</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333333"/>
                <w:spacing w:val="0"/>
                <w:sz w:val="19"/>
                <w:szCs w:val="19"/>
                <w:u w:val="none"/>
                <w:bdr w:val="none" w:color="auto" w:sz="0" w:space="0"/>
                <w:vertAlign w:val="baseline"/>
              </w:rPr>
              <w:t>0 </w:t>
            </w:r>
          </w:p>
        </w:tc>
        <w:tc>
          <w:tcPr>
            <w:tcW w:w="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333333"/>
                <w:spacing w:val="0"/>
                <w:sz w:val="24"/>
                <w:szCs w:val="24"/>
                <w:u w:val="none"/>
                <w:bdr w:val="none" w:color="auto" w:sz="0" w:space="0"/>
                <w:vertAlign w:val="baseline"/>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2E3031"/>
          <w:spacing w:val="0"/>
          <w:sz w:val="31"/>
          <w:szCs w:val="31"/>
          <w:u w:val="none"/>
          <w:bdr w:val="none" w:color="auto" w:sz="0" w:space="0"/>
          <w:shd w:val="clear" w:fill="FFFFFF"/>
          <w:vertAlign w:val="baseline"/>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楷体_GB2312" w:eastAsia="楷体_GB2312" w:cs="楷体_GB2312"/>
          <w:i w:val="0"/>
          <w:iCs w:val="0"/>
          <w:caps w:val="0"/>
          <w:color w:val="333333"/>
          <w:spacing w:val="0"/>
          <w:sz w:val="31"/>
          <w:szCs w:val="31"/>
          <w:u w:val="none"/>
          <w:bdr w:val="none" w:color="auto" w:sz="0" w:space="0"/>
          <w:shd w:val="clear" w:fill="FFFFFF"/>
          <w:vertAlign w:val="baseline"/>
        </w:rPr>
        <w:t>（一）存在的问题：</w:t>
      </w: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2021年，按照新《条例》、省、宜春市、靖安县要求，县卫健委政府信息公开工作取得了一定效果，但还存在一些问题和不足，主要是政府信息公开内容有待丰富、完善，时效性需进一步加强；政务公开标准化规范化建设有待强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楷体_GB2312" w:eastAsia="楷体_GB2312" w:cs="楷体_GB2312"/>
          <w:i w:val="0"/>
          <w:iCs w:val="0"/>
          <w:caps w:val="0"/>
          <w:color w:val="333333"/>
          <w:spacing w:val="0"/>
          <w:sz w:val="31"/>
          <w:szCs w:val="31"/>
          <w:u w:val="none"/>
          <w:bdr w:val="none" w:color="auto" w:sz="0" w:space="0"/>
          <w:shd w:val="clear" w:fill="FFFFFF"/>
          <w:vertAlign w:val="baseline"/>
        </w:rPr>
        <w:t>（二）整改情况：</w:t>
      </w: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2021年，县卫健委将按照新《条例》、上级工作要求，继续按照“以公开为原则，以不公开为例外”的要求，结合靖安县卫生健康工作实际，稳步推进政务公开工作。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一是提高认识，加强宣传，营造政务公开良好氛围，并规范工作流程。做到及时提供，定期维护，确保政府信息公开工作能有效运作，公众能够方便查询。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二是认真梳理，深化公开内容。县卫健委将进一步梳理政府信息，对照原有的政府信息公开目录和卫生健康领域政务公开事项标准目录进行补充完善，保证政务公开信息的完整性、准确性、时效性。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仿宋_GB2312" w:hAnsi="仿宋_GB2312" w:eastAsia="仿宋_GB2312" w:cs="仿宋_GB2312"/>
          <w:i w:val="0"/>
          <w:iCs w:val="0"/>
          <w:caps w:val="0"/>
          <w:color w:val="333333"/>
          <w:spacing w:val="0"/>
          <w:sz w:val="31"/>
          <w:szCs w:val="31"/>
          <w:u w:val="none"/>
          <w:bdr w:val="none" w:color="auto" w:sz="0" w:space="0"/>
          <w:shd w:val="clear" w:fill="FFFFFF"/>
          <w:vertAlign w:val="baseline"/>
        </w:rPr>
        <w:t>三是积极组织，组织工作人员参加县市的各种业务培训，提升工作水平和业务知识能力。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2E3031"/>
          <w:spacing w:val="0"/>
          <w:sz w:val="31"/>
          <w:szCs w:val="31"/>
          <w:u w:val="none"/>
          <w:bdr w:val="none" w:color="auto" w:sz="0" w:space="0"/>
          <w:shd w:val="clear" w:fill="FFFFFF"/>
          <w:vertAlign w:val="baseline"/>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vertAlign w:val="baseline"/>
        </w:rPr>
        <w:t>今年未发生收取信息处理费的情况。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jc w:val="both"/>
        <w:textAlignment w:val="baseline"/>
        <w:rPr>
          <w:rFonts w:hint="eastAsia" w:ascii="仿宋_GB2312" w:hAnsi="仿宋_GB2312" w:eastAsia="仿宋_GB2312" w:cs="仿宋_GB2312"/>
          <w:i w:val="0"/>
          <w:iCs w:val="0"/>
          <w:caps w:val="0"/>
          <w:color w:val="000000"/>
          <w:spacing w:val="0"/>
          <w:sz w:val="31"/>
          <w:szCs w:val="31"/>
          <w:u w:val="none"/>
          <w:shd w:val="clear" w:fill="FFFFFF"/>
          <w:vertAlign w:val="baseline"/>
        </w:rPr>
      </w:pPr>
      <w:r>
        <w:rPr>
          <w:rFonts w:hint="eastAsia" w:ascii="仿宋_GB2312" w:hAnsi="仿宋_GB2312" w:eastAsia="仿宋_GB2312" w:cs="仿宋_GB2312"/>
          <w:i w:val="0"/>
          <w:iCs w:val="0"/>
          <w:caps w:val="0"/>
          <w:color w:val="000000"/>
          <w:spacing w:val="0"/>
          <w:sz w:val="31"/>
          <w:szCs w:val="31"/>
          <w:u w:val="none"/>
          <w:shd w:val="clear" w:fill="FFFFFF"/>
          <w:vertAlign w:val="baseline"/>
        </w:rPr>
        <w:t>本年度无其他需要报告的事项。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kZjBiNzQ0MzQ1MjBjN2E5ZWYwODgyYWViNTMyNWQifQ=="/>
  </w:docVars>
  <w:rsids>
    <w:rsidRoot w:val="47706DE5"/>
    <w:rsid w:val="4770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2023-01-13T07:07:00Z</dcterms:created>
  <dc:creator>。。</dc:creator>
  <cp:lastModifiedBy>。。</cp:lastModifiedBy>
  <dcterms:modified xsi:type="dcterms:W3CDTF">2023-01-13T07:11:28Z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650012AD18514519BD99A5621ECCAEB7</vt:lpwstr>
  </property>
</Properties>
</file>