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444" w:lineRule="atLeast"/>
        <w:ind w:left="0" w:right="0" w:firstLine="0"/>
        <w:jc w:val="center"/>
        <w:textAlignment w:val="auto"/>
        <w:rPr>
          <w:rFonts w:hint="eastAsia" w:ascii="方正小标宋简体" w:hAnsi="方正小标宋简体" w:eastAsia="方正小标宋简体" w:cs="方正小标宋简体"/>
          <w:spacing w:val="0"/>
          <w:sz w:val="44"/>
          <w:szCs w:val="44"/>
          <w:bdr w:val="none" w:color="auto" w:sz="0" w:space="0"/>
        </w:rPr>
      </w:pPr>
      <w:bookmarkStart w:id="0" w:name="_GoBack"/>
      <w:r>
        <w:rPr>
          <w:rFonts w:hint="eastAsia" w:ascii="方正小标宋简体" w:hAnsi="方正小标宋简体" w:eastAsia="方正小标宋简体" w:cs="方正小标宋简体"/>
          <w:spacing w:val="0"/>
          <w:sz w:val="44"/>
          <w:szCs w:val="44"/>
          <w:bdr w:val="none" w:color="auto" w:sz="0" w:space="0"/>
        </w:rPr>
        <w:t>靖安县教体局2021年度政府信息公开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444" w:lineRule="atLeast"/>
        <w:ind w:left="0" w:right="0" w:firstLine="0"/>
        <w:jc w:val="center"/>
        <w:textAlignment w:val="auto"/>
        <w:rPr>
          <w:rFonts w:hint="eastAsia" w:ascii="方正小标宋简体" w:hAnsi="方正小标宋简体" w:eastAsia="方正小标宋简体" w:cs="方正小标宋简体"/>
          <w:spacing w:val="0"/>
          <w:sz w:val="44"/>
          <w:szCs w:val="44"/>
          <w:bdr w:val="none" w:color="auto" w:sz="0" w:space="0"/>
        </w:rPr>
      </w:pPr>
      <w:r>
        <w:rPr>
          <w:rFonts w:hint="eastAsia" w:ascii="方正小标宋简体" w:hAnsi="方正小标宋简体" w:eastAsia="方正小标宋简体" w:cs="方正小标宋简体"/>
          <w:spacing w:val="0"/>
          <w:sz w:val="44"/>
          <w:szCs w:val="44"/>
          <w:bdr w:val="none" w:color="auto" w:sz="0" w:space="0"/>
        </w:rPr>
        <w:t>工作年度报告</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444" w:lineRule="atLeast"/>
        <w:ind w:left="0" w:right="0" w:firstLine="492"/>
      </w:pPr>
      <w:r>
        <w:rPr>
          <w:rFonts w:ascii="仿宋_GB2312" w:hAnsi="仿宋_GB2312" w:eastAsia="仿宋_GB2312" w:cs="仿宋_GB2312"/>
          <w:spacing w:val="0"/>
          <w:sz w:val="25"/>
          <w:szCs w:val="25"/>
          <w:bdr w:val="none" w:color="auto" w:sz="0" w:space="0"/>
        </w:rPr>
        <w:t>本年度报告根据《中华人民共和国政府信息公开条例》（以下简称《条例》）规定要求组织编制。本报告包括总体情况、主动公开政府信息情况、收到和处理政府信息公开申请情况、政府信息公开行政复议、行政诉讼情况、存在的主要问题及改进情况、其他需要报告的事项等六个方面的主要内容。</w:t>
      </w:r>
      <w:r>
        <w:rPr>
          <w:rFonts w:hint="eastAsia" w:ascii="仿宋_GB2312" w:hAnsi="仿宋_GB2312" w:eastAsia="仿宋_GB2312" w:cs="仿宋_GB2312"/>
          <w:spacing w:val="0"/>
          <w:sz w:val="25"/>
          <w:szCs w:val="25"/>
          <w:bdr w:val="none" w:color="auto" w:sz="0" w:space="0"/>
          <w:shd w:val="clear" w:fill="FFFFFF"/>
        </w:rPr>
        <w:t>如对本报告有任何疑问，请与靖安县教体局联系（地址：靖安县潦河北路8号，电话：0795-4662668，邮编：330699）</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444" w:lineRule="atLeast"/>
        <w:ind w:left="0" w:right="0" w:firstLine="516"/>
      </w:pPr>
      <w:r>
        <w:rPr>
          <w:rFonts w:hint="eastAsia" w:ascii="仿宋_GB2312" w:hAnsi="仿宋_GB2312" w:eastAsia="仿宋_GB2312" w:cs="仿宋_GB2312"/>
          <w:spacing w:val="0"/>
          <w:sz w:val="25"/>
          <w:szCs w:val="25"/>
          <w:bdr w:val="none" w:color="auto" w:sz="0" w:space="0"/>
        </w:rPr>
        <w:t>本报告中所列数据的统计期限自2021年1月1日至2021年12月31日止。</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444" w:lineRule="atLeast"/>
        <w:ind w:left="0" w:right="0" w:firstLine="492"/>
      </w:pPr>
      <w:r>
        <w:rPr>
          <w:rFonts w:ascii="黑体" w:hAnsi="宋体" w:eastAsia="黑体" w:cs="黑体"/>
          <w:spacing w:val="0"/>
          <w:sz w:val="25"/>
          <w:szCs w:val="25"/>
          <w:bdr w:val="none" w:color="auto" w:sz="0" w:space="0"/>
        </w:rPr>
        <w:t>一、</w:t>
      </w:r>
      <w:r>
        <w:rPr>
          <w:rFonts w:hint="eastAsia" w:ascii="黑体" w:hAnsi="宋体" w:eastAsia="黑体" w:cs="黑体"/>
          <w:spacing w:val="0"/>
          <w:sz w:val="25"/>
          <w:szCs w:val="25"/>
          <w:bdr w:val="none" w:color="auto" w:sz="0" w:space="0"/>
        </w:rPr>
        <w:t>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444" w:lineRule="atLeast"/>
        <w:ind w:left="0" w:right="0" w:firstLine="516"/>
      </w:pPr>
      <w:r>
        <w:rPr>
          <w:rFonts w:hint="eastAsia" w:ascii="仿宋_GB2312" w:hAnsi="仿宋_GB2312" w:eastAsia="仿宋_GB2312" w:cs="仿宋_GB2312"/>
          <w:spacing w:val="0"/>
          <w:sz w:val="25"/>
          <w:szCs w:val="25"/>
          <w:bdr w:val="none" w:color="auto" w:sz="0" w:space="0"/>
        </w:rPr>
        <w:t>按照《条例》和上级工作部署要求，2021年度我局信息公开工作在充实公开内容、丰富公开形式、建立公开长效机制，加大工作力度，取得较好的成效。</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444" w:lineRule="atLeast"/>
        <w:ind w:left="0" w:right="0" w:firstLine="492"/>
      </w:pPr>
      <w:r>
        <w:rPr>
          <w:rFonts w:ascii="楷体_GB2312" w:hAnsi="楷体_GB2312" w:eastAsia="楷体_GB2312" w:cs="楷体_GB2312"/>
          <w:spacing w:val="0"/>
          <w:sz w:val="25"/>
          <w:szCs w:val="25"/>
          <w:bdr w:val="none" w:color="auto" w:sz="0" w:space="0"/>
        </w:rPr>
        <w:t>（一）主动公开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444" w:lineRule="atLeast"/>
        <w:ind w:left="0" w:right="0" w:firstLine="492"/>
      </w:pPr>
      <w:r>
        <w:rPr>
          <w:rFonts w:hint="eastAsia" w:ascii="仿宋_GB2312" w:hAnsi="仿宋_GB2312" w:eastAsia="仿宋_GB2312" w:cs="仿宋_GB2312"/>
          <w:spacing w:val="0"/>
          <w:sz w:val="25"/>
          <w:szCs w:val="25"/>
          <w:bdr w:val="none" w:color="auto" w:sz="0" w:space="0"/>
        </w:rPr>
        <w:t>2021年我局共主动公开政府信息236条，其中，公开指南1条、工作动态73条、概况信息2条（领导信息简历与分工）、政策文件23条、建议提案办理17条、财政预决算47条、重点领域信息公开72条，政府信息公开年度报告1条。</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444" w:lineRule="atLeast"/>
        <w:ind w:left="0" w:right="0" w:firstLine="492"/>
      </w:pPr>
      <w:r>
        <w:rPr>
          <w:rFonts w:hint="eastAsia" w:ascii="楷体_GB2312" w:hAnsi="楷体_GB2312" w:eastAsia="楷体_GB2312" w:cs="楷体_GB2312"/>
          <w:spacing w:val="0"/>
          <w:sz w:val="25"/>
          <w:szCs w:val="25"/>
          <w:bdr w:val="none" w:color="auto" w:sz="0" w:space="0"/>
        </w:rPr>
        <w:t>（二）依申请公开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444" w:lineRule="atLeast"/>
        <w:ind w:left="0" w:right="0" w:firstLine="492"/>
      </w:pPr>
      <w:r>
        <w:rPr>
          <w:rFonts w:hint="eastAsia" w:ascii="仿宋_GB2312" w:hAnsi="仿宋_GB2312" w:eastAsia="仿宋_GB2312" w:cs="仿宋_GB2312"/>
          <w:spacing w:val="0"/>
          <w:sz w:val="25"/>
          <w:szCs w:val="25"/>
          <w:bdr w:val="none" w:color="auto" w:sz="0" w:space="0"/>
          <w:shd w:val="clear" w:fill="FFFFFF"/>
        </w:rPr>
        <w:t>2021年，我局收到书面申请政府信息公开1件。</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444" w:lineRule="atLeast"/>
        <w:ind w:left="0" w:right="0" w:firstLine="492"/>
      </w:pPr>
      <w:r>
        <w:rPr>
          <w:rFonts w:hint="eastAsia" w:ascii="楷体_GB2312" w:hAnsi="楷体_GB2312" w:eastAsia="楷体_GB2312" w:cs="楷体_GB2312"/>
          <w:spacing w:val="0"/>
          <w:sz w:val="25"/>
          <w:szCs w:val="25"/>
          <w:bdr w:val="none" w:color="auto" w:sz="0" w:space="0"/>
        </w:rPr>
        <w:t>（三）政府信息管理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444" w:lineRule="atLeast"/>
        <w:ind w:left="0" w:right="0" w:firstLine="492"/>
      </w:pPr>
      <w:r>
        <w:rPr>
          <w:rFonts w:hint="eastAsia" w:ascii="仿宋_GB2312" w:hAnsi="仿宋_GB2312" w:eastAsia="仿宋_GB2312" w:cs="仿宋_GB2312"/>
          <w:spacing w:val="0"/>
          <w:sz w:val="25"/>
          <w:szCs w:val="25"/>
          <w:bdr w:val="none" w:color="auto" w:sz="0" w:space="0"/>
          <w:shd w:val="clear" w:fill="FFFFFF"/>
        </w:rPr>
        <w:t>我局依照县政府信息公开制度要求，公开信息内容做到及时更新。在信息内容上传前进行审核，减少错别字和表述等问题。对于政府网站抽查反馈问题做到及时修改。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444" w:lineRule="atLeast"/>
        <w:ind w:left="0" w:right="0" w:firstLine="492"/>
      </w:pPr>
      <w:r>
        <w:rPr>
          <w:rFonts w:hint="eastAsia" w:ascii="楷体_GB2312" w:hAnsi="楷体_GB2312" w:eastAsia="楷体_GB2312" w:cs="楷体_GB2312"/>
          <w:spacing w:val="0"/>
          <w:sz w:val="25"/>
          <w:szCs w:val="25"/>
          <w:bdr w:val="none" w:color="auto" w:sz="0" w:space="0"/>
          <w:shd w:val="clear" w:fill="FFFFFF"/>
        </w:rPr>
        <w:t>（四）平台建设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444" w:lineRule="atLeast"/>
        <w:ind w:left="0" w:right="0" w:firstLine="492"/>
      </w:pPr>
      <w:r>
        <w:rPr>
          <w:rFonts w:hint="eastAsia" w:ascii="仿宋_GB2312" w:hAnsi="仿宋_GB2312" w:eastAsia="仿宋_GB2312" w:cs="仿宋_GB2312"/>
          <w:spacing w:val="0"/>
          <w:sz w:val="25"/>
          <w:szCs w:val="25"/>
          <w:bdr w:val="none" w:color="auto" w:sz="0" w:space="0"/>
          <w:shd w:val="clear" w:fill="FFFFFF"/>
        </w:rPr>
        <w:t>民众通过靖安县人民政府网站“政府信息公开”专栏可以查阅我局主动公开的政府信息，可以向我局提出政府信息公开申请，并查阅政府信息公开申请处理的状态。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444" w:lineRule="atLeast"/>
        <w:ind w:left="12" w:right="0" w:firstLine="492"/>
      </w:pPr>
      <w:r>
        <w:rPr>
          <w:rFonts w:hint="eastAsia" w:ascii="楷体_GB2312" w:hAnsi="楷体_GB2312" w:eastAsia="楷体_GB2312" w:cs="楷体_GB2312"/>
          <w:spacing w:val="0"/>
          <w:sz w:val="25"/>
          <w:szCs w:val="25"/>
          <w:bdr w:val="none" w:color="auto" w:sz="0" w:space="0"/>
          <w:shd w:val="clear" w:fill="FFFFFF"/>
        </w:rPr>
        <w:t>（五）监督保障</w:t>
      </w:r>
    </w:p>
    <w:p>
      <w:pPr>
        <w:pStyle w:val="2"/>
        <w:keepNext w:val="0"/>
        <w:keepLines w:val="0"/>
        <w:widowControl/>
        <w:suppressLineNumbers w:val="0"/>
        <w:spacing w:before="0" w:beforeAutospacing="0" w:line="444" w:lineRule="atLeast"/>
        <w:ind w:left="0" w:right="0" w:firstLine="516"/>
      </w:pPr>
      <w:r>
        <w:rPr>
          <w:rFonts w:hint="eastAsia" w:ascii="仿宋_GB2312" w:hAnsi="仿宋_GB2312" w:eastAsia="仿宋_GB2312" w:cs="仿宋_GB2312"/>
          <w:sz w:val="25"/>
          <w:szCs w:val="25"/>
        </w:rPr>
        <w:t>每年1月10日前向靖安县人民政府信息公开主管部门提交本局上一年度的政府信息公开工作报告。公民、法人或者其他组织认为本局有不依法履行政府信息公开义务的，可直接向监察机关或者政府信息公开工作主管部门举报。公民、法人或者其他组织认为本局在政府信息公开工作中的具体行政行为侵犯其合法权益的，可以依法申请行政复议或者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16"/>
        <w:jc w:val="both"/>
      </w:pPr>
      <w:r>
        <w:rPr>
          <w:rStyle w:val="5"/>
          <w:rFonts w:hint="eastAsia" w:ascii="黑体" w:hAnsi="宋体" w:eastAsia="黑体" w:cs="黑体"/>
          <w:color w:val="333333"/>
          <w:spacing w:val="0"/>
          <w:sz w:val="25"/>
          <w:szCs w:val="25"/>
          <w:bdr w:val="none" w:color="auto" w:sz="0" w:space="0"/>
          <w:shd w:val="clear" w:fill="FFFFFF"/>
        </w:rPr>
        <w:t>二、主动公开政府信息情况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36"/>
        <w:jc w:val="both"/>
      </w:pPr>
      <w:r>
        <w:rPr>
          <w:rFonts w:hint="eastAsia" w:ascii="宋体" w:hAnsi="宋体" w:eastAsia="宋体" w:cs="宋体"/>
          <w:color w:val="333333"/>
          <w:spacing w:val="0"/>
          <w:sz w:val="19"/>
          <w:szCs w:val="19"/>
          <w:bdr w:val="none" w:color="auto" w:sz="0" w:space="0"/>
          <w:shd w:val="clear" w:fill="FFFFFF"/>
        </w:rPr>
        <w:t> </w:t>
      </w:r>
    </w:p>
    <w:tbl>
      <w:tblPr>
        <w:tblW w:w="7788" w:type="dxa"/>
        <w:tblCellSpacing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944"/>
        <w:gridCol w:w="1944"/>
        <w:gridCol w:w="1944"/>
        <w:gridCol w:w="1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6" w:hRule="atLeast"/>
          <w:tblCellSpacing w:w="0" w:type="dxa"/>
        </w:trPr>
        <w:tc>
          <w:tcPr>
            <w:tcW w:w="7788" w:type="dxa"/>
            <w:gridSpan w:val="4"/>
            <w:tcBorders>
              <w:top w:val="single" w:color="000000" w:sz="4" w:space="0"/>
              <w:left w:val="single" w:color="000000" w:sz="4" w:space="0"/>
              <w:bottom w:val="single" w:color="000000" w:sz="4" w:space="0"/>
              <w:right w:val="single" w:color="000000" w:sz="4" w:space="0"/>
            </w:tcBorders>
            <w:shd w:val="clear" w:color="auto" w:fill="C6D9F1"/>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6" w:hRule="atLeast"/>
          <w:tblCellSpacing w:w="0" w:type="dxa"/>
        </w:trPr>
        <w:tc>
          <w:tcPr>
            <w:tcW w:w="1944" w:type="dxa"/>
            <w:tcBorders>
              <w:top w:val="nil"/>
              <w:left w:val="single" w:color="000000" w:sz="4" w:space="0"/>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信息内容</w:t>
            </w:r>
          </w:p>
        </w:tc>
        <w:tc>
          <w:tcPr>
            <w:tcW w:w="1944" w:type="dxa"/>
            <w:tcBorders>
              <w:top w:val="single" w:color="000000" w:sz="4" w:space="0"/>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本年制发件数</w:t>
            </w:r>
          </w:p>
        </w:tc>
        <w:tc>
          <w:tcPr>
            <w:tcW w:w="1944" w:type="dxa"/>
            <w:tcBorders>
              <w:top w:val="single" w:color="000000" w:sz="4" w:space="0"/>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本年废止件数</w:t>
            </w:r>
          </w:p>
        </w:tc>
        <w:tc>
          <w:tcPr>
            <w:tcW w:w="1944" w:type="dxa"/>
            <w:tcBorders>
              <w:top w:val="single" w:color="000000" w:sz="4" w:space="0"/>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6" w:hRule="atLeast"/>
          <w:tblCellSpacing w:w="0" w:type="dxa"/>
        </w:trPr>
        <w:tc>
          <w:tcPr>
            <w:tcW w:w="1944" w:type="dxa"/>
            <w:tcBorders>
              <w:top w:val="nil"/>
              <w:left w:val="single" w:color="000000" w:sz="4" w:space="0"/>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规章</w:t>
            </w:r>
          </w:p>
        </w:tc>
        <w:tc>
          <w:tcPr>
            <w:tcW w:w="1944"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ascii="Calibri" w:hAnsi="Calibri" w:eastAsia="Calibri" w:cs="Calibri"/>
                <w:sz w:val="16"/>
                <w:szCs w:val="16"/>
              </w:rPr>
              <w:t>0</w:t>
            </w:r>
          </w:p>
        </w:tc>
        <w:tc>
          <w:tcPr>
            <w:tcW w:w="1944"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1944"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6" w:hRule="atLeast"/>
          <w:tblCellSpacing w:w="0" w:type="dxa"/>
        </w:trPr>
        <w:tc>
          <w:tcPr>
            <w:tcW w:w="1944" w:type="dxa"/>
            <w:tcBorders>
              <w:top w:val="nil"/>
              <w:left w:val="single" w:color="000000" w:sz="4" w:space="0"/>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行政规范性文件</w:t>
            </w:r>
          </w:p>
        </w:tc>
        <w:tc>
          <w:tcPr>
            <w:tcW w:w="1944"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1944"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1944"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6" w:hRule="atLeast"/>
          <w:tblCellSpacing w:w="0" w:type="dxa"/>
        </w:trPr>
        <w:tc>
          <w:tcPr>
            <w:tcW w:w="7788" w:type="dxa"/>
            <w:gridSpan w:val="4"/>
            <w:tcBorders>
              <w:top w:val="nil"/>
              <w:left w:val="single" w:color="000000" w:sz="4" w:space="0"/>
              <w:bottom w:val="single" w:color="000000" w:sz="4" w:space="0"/>
              <w:right w:val="single" w:color="000000" w:sz="4" w:space="0"/>
            </w:tcBorders>
            <w:shd w:val="clear" w:color="auto" w:fill="C6D9F1"/>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6" w:hRule="atLeast"/>
          <w:tblCellSpacing w:w="0" w:type="dxa"/>
        </w:trPr>
        <w:tc>
          <w:tcPr>
            <w:tcW w:w="1944" w:type="dxa"/>
            <w:tcBorders>
              <w:top w:val="nil"/>
              <w:left w:val="single" w:color="000000" w:sz="4" w:space="0"/>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信息内容</w:t>
            </w:r>
          </w:p>
        </w:tc>
        <w:tc>
          <w:tcPr>
            <w:tcW w:w="5844" w:type="dxa"/>
            <w:gridSpan w:val="3"/>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6" w:hRule="atLeast"/>
          <w:tblCellSpacing w:w="0" w:type="dxa"/>
        </w:trPr>
        <w:tc>
          <w:tcPr>
            <w:tcW w:w="1944" w:type="dxa"/>
            <w:tcBorders>
              <w:top w:val="nil"/>
              <w:left w:val="single" w:color="000000" w:sz="4" w:space="0"/>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行政许可</w:t>
            </w:r>
          </w:p>
        </w:tc>
        <w:tc>
          <w:tcPr>
            <w:tcW w:w="5844" w:type="dxa"/>
            <w:gridSpan w:val="3"/>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6" w:hRule="atLeast"/>
          <w:tblCellSpacing w:w="0" w:type="dxa"/>
        </w:trPr>
        <w:tc>
          <w:tcPr>
            <w:tcW w:w="7788" w:type="dxa"/>
            <w:gridSpan w:val="4"/>
            <w:tcBorders>
              <w:top w:val="nil"/>
              <w:left w:val="single" w:color="000000" w:sz="4" w:space="0"/>
              <w:bottom w:val="single" w:color="000000" w:sz="4" w:space="0"/>
              <w:right w:val="single" w:color="000000" w:sz="4" w:space="0"/>
            </w:tcBorders>
            <w:shd w:val="clear" w:color="auto" w:fill="C6D9F1"/>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6" w:hRule="atLeast"/>
          <w:tblCellSpacing w:w="0" w:type="dxa"/>
        </w:trPr>
        <w:tc>
          <w:tcPr>
            <w:tcW w:w="1944" w:type="dxa"/>
            <w:tcBorders>
              <w:top w:val="nil"/>
              <w:left w:val="single" w:color="000000" w:sz="4" w:space="0"/>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5"/>
                <w:szCs w:val="15"/>
              </w:rPr>
              <w:t>信息内容</w:t>
            </w:r>
          </w:p>
        </w:tc>
        <w:tc>
          <w:tcPr>
            <w:tcW w:w="5844" w:type="dxa"/>
            <w:gridSpan w:val="3"/>
            <w:tcBorders>
              <w:top w:val="single" w:color="000000" w:sz="4" w:space="0"/>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5"/>
                <w:szCs w:val="15"/>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6" w:hRule="atLeast"/>
          <w:tblCellSpacing w:w="0" w:type="dxa"/>
        </w:trPr>
        <w:tc>
          <w:tcPr>
            <w:tcW w:w="1944" w:type="dxa"/>
            <w:tcBorders>
              <w:top w:val="nil"/>
              <w:left w:val="single" w:color="000000" w:sz="4" w:space="0"/>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行政处罚</w:t>
            </w:r>
          </w:p>
        </w:tc>
        <w:tc>
          <w:tcPr>
            <w:tcW w:w="5844" w:type="dxa"/>
            <w:gridSpan w:val="3"/>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6" w:hRule="atLeast"/>
          <w:tblCellSpacing w:w="0" w:type="dxa"/>
        </w:trPr>
        <w:tc>
          <w:tcPr>
            <w:tcW w:w="1944" w:type="dxa"/>
            <w:tcBorders>
              <w:top w:val="nil"/>
              <w:left w:val="single" w:color="000000" w:sz="4" w:space="0"/>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行政强制</w:t>
            </w:r>
          </w:p>
        </w:tc>
        <w:tc>
          <w:tcPr>
            <w:tcW w:w="5844" w:type="dxa"/>
            <w:gridSpan w:val="3"/>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6" w:hRule="atLeast"/>
          <w:tblCellSpacing w:w="0" w:type="dxa"/>
        </w:trPr>
        <w:tc>
          <w:tcPr>
            <w:tcW w:w="7788" w:type="dxa"/>
            <w:gridSpan w:val="4"/>
            <w:tcBorders>
              <w:top w:val="nil"/>
              <w:left w:val="single" w:color="000000" w:sz="4" w:space="0"/>
              <w:bottom w:val="single" w:color="000000" w:sz="4" w:space="0"/>
              <w:right w:val="single" w:color="000000" w:sz="4" w:space="0"/>
            </w:tcBorders>
            <w:shd w:val="clear" w:color="auto" w:fill="C6D9F1"/>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6" w:hRule="atLeast"/>
          <w:tblCellSpacing w:w="0" w:type="dxa"/>
        </w:trPr>
        <w:tc>
          <w:tcPr>
            <w:tcW w:w="1944" w:type="dxa"/>
            <w:tcBorders>
              <w:top w:val="nil"/>
              <w:left w:val="single" w:color="000000" w:sz="4" w:space="0"/>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信息内容</w:t>
            </w:r>
          </w:p>
        </w:tc>
        <w:tc>
          <w:tcPr>
            <w:tcW w:w="5844" w:type="dxa"/>
            <w:gridSpan w:val="3"/>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6" w:hRule="atLeast"/>
          <w:tblCellSpacing w:w="0" w:type="dxa"/>
        </w:trPr>
        <w:tc>
          <w:tcPr>
            <w:tcW w:w="1944" w:type="dxa"/>
            <w:tcBorders>
              <w:top w:val="nil"/>
              <w:left w:val="single" w:color="000000" w:sz="4" w:space="0"/>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行政事业性收费</w:t>
            </w:r>
          </w:p>
        </w:tc>
        <w:tc>
          <w:tcPr>
            <w:tcW w:w="5844" w:type="dxa"/>
            <w:gridSpan w:val="3"/>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0</w:t>
            </w:r>
          </w:p>
        </w:tc>
      </w:tr>
    </w:tbl>
    <w:p>
      <w:pPr>
        <w:pStyle w:val="2"/>
        <w:keepNext w:val="0"/>
        <w:keepLines w:val="0"/>
        <w:widowControl/>
        <w:suppressLineNumbers w:val="0"/>
      </w:pPr>
      <w:r>
        <w:rPr>
          <w:rFonts w:hint="default" w:ascii="Calibri" w:hAnsi="Calibri" w:eastAsia="Calibri" w:cs="Calibri"/>
          <w:sz w:val="16"/>
          <w:szCs w:val="16"/>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36"/>
        <w:jc w:val="both"/>
      </w:pPr>
      <w:r>
        <w:rPr>
          <w:rStyle w:val="5"/>
          <w:rFonts w:hint="eastAsia" w:ascii="黑体" w:hAnsi="宋体" w:eastAsia="黑体" w:cs="黑体"/>
          <w:color w:val="333333"/>
          <w:spacing w:val="0"/>
          <w:sz w:val="25"/>
          <w:szCs w:val="25"/>
          <w:bdr w:val="none" w:color="auto" w:sz="0" w:space="0"/>
          <w:shd w:val="clear" w:fill="FFFFFF"/>
        </w:rPr>
        <w:t>三、收到和处理政府信息公开申请情况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36"/>
        <w:jc w:val="both"/>
      </w:pPr>
      <w:r>
        <w:rPr>
          <w:rFonts w:hint="eastAsia" w:ascii="宋体" w:hAnsi="宋体" w:eastAsia="宋体" w:cs="宋体"/>
          <w:color w:val="333333"/>
          <w:spacing w:val="0"/>
          <w:sz w:val="19"/>
          <w:szCs w:val="19"/>
          <w:bdr w:val="none" w:color="auto" w:sz="0" w:space="0"/>
          <w:shd w:val="clear" w:fill="FFFFFF"/>
        </w:rPr>
        <w:t> </w:t>
      </w:r>
    </w:p>
    <w:tbl>
      <w:tblPr>
        <w:tblW w:w="7800" w:type="dxa"/>
        <w:tblCellSpacing w:w="0" w:type="dxa"/>
        <w:tblInd w:w="1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08"/>
        <w:gridCol w:w="752"/>
        <w:gridCol w:w="2562"/>
        <w:gridCol w:w="554"/>
        <w:gridCol w:w="554"/>
        <w:gridCol w:w="554"/>
        <w:gridCol w:w="554"/>
        <w:gridCol w:w="554"/>
        <w:gridCol w:w="554"/>
        <w:gridCol w:w="55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4116" w:type="dxa"/>
            <w:gridSpan w:val="3"/>
            <w:vMerge w:val="restart"/>
            <w:tcBorders>
              <w:top w:val="single" w:color="000000" w:sz="4" w:space="0"/>
              <w:left w:val="single" w:color="000000" w:sz="4" w:space="0"/>
              <w:bottom w:val="outset"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pPr>
            <w:r>
              <w:rPr>
                <w:rFonts w:ascii="楷体" w:hAnsi="楷体" w:eastAsia="楷体" w:cs="楷体"/>
                <w:sz w:val="15"/>
                <w:szCs w:val="15"/>
                <w:bdr w:val="none" w:color="auto" w:sz="0" w:space="0"/>
              </w:rPr>
              <w:t>（本列数据的勾稽关系为：第一项加第二项之和，等于第三项加第四项之和）</w:t>
            </w:r>
          </w:p>
        </w:tc>
        <w:tc>
          <w:tcPr>
            <w:tcW w:w="3996" w:type="dxa"/>
            <w:gridSpan w:val="7"/>
            <w:tcBorders>
              <w:top w:val="single" w:color="000000" w:sz="4" w:space="0"/>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4116" w:type="dxa"/>
            <w:gridSpan w:val="3"/>
            <w:vMerge w:val="continue"/>
            <w:tcBorders>
              <w:top w:val="single" w:color="000000" w:sz="4" w:space="0"/>
              <w:left w:val="single" w:color="000000" w:sz="4" w:space="0"/>
              <w:bottom w:val="outset" w:color="000000" w:sz="4" w:space="0"/>
              <w:right w:val="single" w:color="000000" w:sz="4" w:space="0"/>
            </w:tcBorders>
            <w:shd w:val="clear"/>
            <w:tcMar>
              <w:top w:w="0" w:type="dxa"/>
              <w:left w:w="84" w:type="dxa"/>
              <w:bottom w:w="0" w:type="dxa"/>
              <w:right w:w="84" w:type="dxa"/>
            </w:tcMar>
            <w:vAlign w:val="center"/>
          </w:tcPr>
          <w:p>
            <w:pPr>
              <w:rPr>
                <w:rFonts w:hint="eastAsia" w:ascii="宋体"/>
                <w:sz w:val="24"/>
                <w:szCs w:val="24"/>
              </w:rPr>
            </w:pPr>
          </w:p>
        </w:tc>
        <w:tc>
          <w:tcPr>
            <w:tcW w:w="576" w:type="dxa"/>
            <w:vMerge w:val="restart"/>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自然人</w:t>
            </w:r>
          </w:p>
        </w:tc>
        <w:tc>
          <w:tcPr>
            <w:tcW w:w="2856" w:type="dxa"/>
            <w:gridSpan w:val="5"/>
            <w:tcBorders>
              <w:top w:val="single" w:color="000000" w:sz="4" w:space="0"/>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法人或其他组织</w:t>
            </w:r>
          </w:p>
        </w:tc>
        <w:tc>
          <w:tcPr>
            <w:tcW w:w="576" w:type="dxa"/>
            <w:vMerge w:val="restart"/>
            <w:tcBorders>
              <w:top w:val="single" w:color="000000" w:sz="4" w:space="0"/>
              <w:left w:val="nil"/>
              <w:bottom w:val="outset"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4116" w:type="dxa"/>
            <w:gridSpan w:val="3"/>
            <w:vMerge w:val="continue"/>
            <w:tcBorders>
              <w:top w:val="single" w:color="000000" w:sz="4" w:space="0"/>
              <w:left w:val="single" w:color="000000" w:sz="4" w:space="0"/>
              <w:bottom w:val="outset" w:color="000000" w:sz="4" w:space="0"/>
              <w:right w:val="single" w:color="000000" w:sz="4" w:space="0"/>
            </w:tcBorders>
            <w:shd w:val="clear"/>
            <w:tcMar>
              <w:top w:w="0" w:type="dxa"/>
              <w:left w:w="84" w:type="dxa"/>
              <w:bottom w:w="0" w:type="dxa"/>
              <w:right w:w="84" w:type="dxa"/>
            </w:tcMar>
            <w:vAlign w:val="center"/>
          </w:tcPr>
          <w:p>
            <w:pPr>
              <w:rPr>
                <w:rFonts w:hint="eastAsia" w:ascii="宋体"/>
                <w:sz w:val="24"/>
                <w:szCs w:val="24"/>
              </w:rPr>
            </w:pPr>
          </w:p>
        </w:tc>
        <w:tc>
          <w:tcPr>
            <w:tcW w:w="576" w:type="dxa"/>
            <w:vMerge w:val="continue"/>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商业</w:t>
            </w:r>
          </w:p>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企业</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科研</w:t>
            </w:r>
          </w:p>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机构</w:t>
            </w:r>
          </w:p>
        </w:tc>
        <w:tc>
          <w:tcPr>
            <w:tcW w:w="576" w:type="dxa"/>
            <w:tcBorders>
              <w:top w:val="single" w:color="000000" w:sz="4" w:space="0"/>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社会公益组织</w:t>
            </w:r>
          </w:p>
        </w:tc>
        <w:tc>
          <w:tcPr>
            <w:tcW w:w="576" w:type="dxa"/>
            <w:tcBorders>
              <w:top w:val="single" w:color="000000" w:sz="4" w:space="0"/>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法律服务机构</w:t>
            </w:r>
          </w:p>
        </w:tc>
        <w:tc>
          <w:tcPr>
            <w:tcW w:w="576" w:type="dxa"/>
            <w:tcBorders>
              <w:top w:val="single" w:color="000000" w:sz="4" w:space="0"/>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其他</w:t>
            </w:r>
          </w:p>
        </w:tc>
        <w:tc>
          <w:tcPr>
            <w:tcW w:w="576" w:type="dxa"/>
            <w:vMerge w:val="continue"/>
            <w:tcBorders>
              <w:top w:val="single" w:color="000000" w:sz="4" w:space="0"/>
              <w:left w:val="nil"/>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4116" w:type="dxa"/>
            <w:gridSpan w:val="3"/>
            <w:tcBorders>
              <w:top w:val="nil"/>
              <w:left w:val="single" w:color="000000" w:sz="4" w:space="0"/>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一、本年新收政府信息公开申请数量</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wordWrap w:val="0"/>
              <w:spacing w:before="0" w:beforeAutospacing="0" w:after="0" w:afterAutospacing="0"/>
              <w:ind w:left="0" w:right="0"/>
              <w:jc w:val="center"/>
            </w:pPr>
            <w:r>
              <w:t>1</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wordWrap w:val="0"/>
              <w:spacing w:before="0" w:beforeAutospacing="0" w:after="0" w:afterAutospacing="0"/>
              <w:ind w:left="0" w:right="0"/>
              <w:jc w:val="center"/>
            </w:pPr>
            <w: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4116" w:type="dxa"/>
            <w:gridSpan w:val="3"/>
            <w:tcBorders>
              <w:top w:val="nil"/>
              <w:left w:val="single" w:color="000000" w:sz="4" w:space="0"/>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二、上年结转政府信息公开申请数量</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624" w:type="dxa"/>
            <w:vMerge w:val="restart"/>
            <w:tcBorders>
              <w:top w:val="nil"/>
              <w:left w:val="single" w:color="000000" w:sz="4" w:space="0"/>
              <w:bottom w:val="outset"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三、本年度办理结果</w:t>
            </w:r>
          </w:p>
        </w:tc>
        <w:tc>
          <w:tcPr>
            <w:tcW w:w="3492" w:type="dxa"/>
            <w:gridSpan w:val="2"/>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（一）予以公开</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wordWrap w:val="0"/>
              <w:spacing w:before="0" w:beforeAutospacing="0" w:after="0" w:afterAutospacing="0"/>
              <w:ind w:left="0" w:right="0"/>
              <w:jc w:val="center"/>
            </w:pPr>
            <w:r>
              <w:t>1</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single" w:color="000000" w:sz="4" w:space="0"/>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wordWrap w:val="0"/>
              <w:spacing w:before="0" w:beforeAutospacing="0" w:after="0" w:afterAutospacing="0"/>
              <w:ind w:left="0" w:right="0"/>
              <w:jc w:val="center"/>
            </w:pPr>
            <w: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624" w:type="dxa"/>
            <w:vMerge w:val="continue"/>
            <w:tcBorders>
              <w:top w:val="nil"/>
              <w:left w:val="single" w:color="000000" w:sz="4" w:space="0"/>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3492" w:type="dxa"/>
            <w:gridSpan w:val="2"/>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（二）部分公开</w:t>
            </w:r>
            <w:r>
              <w:rPr>
                <w:rFonts w:hint="eastAsia" w:ascii="楷体" w:hAnsi="楷体" w:eastAsia="楷体" w:cs="楷体"/>
                <w:sz w:val="15"/>
                <w:szCs w:val="15"/>
                <w:bdr w:val="none" w:color="auto" w:sz="0" w:space="0"/>
              </w:rPr>
              <w:t>（区分处理的，只计这一情形，不计其他情形）</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624" w:type="dxa"/>
            <w:vMerge w:val="continue"/>
            <w:tcBorders>
              <w:top w:val="nil"/>
              <w:left w:val="single" w:color="000000" w:sz="4" w:space="0"/>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768" w:type="dxa"/>
            <w:vMerge w:val="restart"/>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（三）不予公开</w:t>
            </w:r>
          </w:p>
        </w:tc>
        <w:tc>
          <w:tcPr>
            <w:tcW w:w="2724"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pPr>
            <w:r>
              <w:rPr>
                <w:rFonts w:hint="eastAsia" w:ascii="宋体" w:hAnsi="宋体" w:eastAsia="宋体" w:cs="宋体"/>
                <w:sz w:val="15"/>
                <w:szCs w:val="15"/>
                <w:bdr w:val="none" w:color="auto" w:sz="0" w:space="0"/>
              </w:rPr>
              <w:t>1.属于国家秘密</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single" w:color="000000" w:sz="4" w:space="0"/>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624" w:type="dxa"/>
            <w:vMerge w:val="continue"/>
            <w:tcBorders>
              <w:top w:val="nil"/>
              <w:left w:val="single" w:color="000000" w:sz="4" w:space="0"/>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768" w:type="dxa"/>
            <w:vMerge w:val="continue"/>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2724"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pPr>
            <w:r>
              <w:rPr>
                <w:rFonts w:hint="eastAsia" w:ascii="宋体" w:hAnsi="宋体" w:eastAsia="宋体" w:cs="宋体"/>
                <w:sz w:val="15"/>
                <w:szCs w:val="15"/>
                <w:bdr w:val="none" w:color="auto" w:sz="0" w:space="0"/>
              </w:rPr>
              <w:t>2.其他法律行政法规禁止公开</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624" w:type="dxa"/>
            <w:vMerge w:val="continue"/>
            <w:tcBorders>
              <w:top w:val="nil"/>
              <w:left w:val="single" w:color="000000" w:sz="4" w:space="0"/>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768" w:type="dxa"/>
            <w:vMerge w:val="continue"/>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2724"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pPr>
            <w:r>
              <w:rPr>
                <w:rFonts w:hint="eastAsia" w:ascii="宋体" w:hAnsi="宋体" w:eastAsia="宋体" w:cs="宋体"/>
                <w:sz w:val="15"/>
                <w:szCs w:val="15"/>
                <w:bdr w:val="none" w:color="auto" w:sz="0" w:space="0"/>
              </w:rPr>
              <w:t>3.危及“三安全一稳定”</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624" w:type="dxa"/>
            <w:vMerge w:val="continue"/>
            <w:tcBorders>
              <w:top w:val="nil"/>
              <w:left w:val="single" w:color="000000" w:sz="4" w:space="0"/>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768" w:type="dxa"/>
            <w:vMerge w:val="continue"/>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2724"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pPr>
            <w:r>
              <w:rPr>
                <w:rFonts w:hint="eastAsia" w:ascii="宋体" w:hAnsi="宋体" w:eastAsia="宋体" w:cs="宋体"/>
                <w:sz w:val="15"/>
                <w:szCs w:val="15"/>
                <w:bdr w:val="none" w:color="auto" w:sz="0" w:space="0"/>
              </w:rPr>
              <w:t>4.保护第三方合法权益</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624" w:type="dxa"/>
            <w:vMerge w:val="continue"/>
            <w:tcBorders>
              <w:top w:val="nil"/>
              <w:left w:val="single" w:color="000000" w:sz="4" w:space="0"/>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768" w:type="dxa"/>
            <w:vMerge w:val="continue"/>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2724"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pPr>
            <w:r>
              <w:rPr>
                <w:rFonts w:hint="eastAsia" w:ascii="宋体" w:hAnsi="宋体" w:eastAsia="宋体" w:cs="宋体"/>
                <w:sz w:val="15"/>
                <w:szCs w:val="15"/>
                <w:bdr w:val="none" w:color="auto" w:sz="0" w:space="0"/>
              </w:rPr>
              <w:t>5.属于三类内部事务信息</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624" w:type="dxa"/>
            <w:vMerge w:val="continue"/>
            <w:tcBorders>
              <w:top w:val="nil"/>
              <w:left w:val="single" w:color="000000" w:sz="4" w:space="0"/>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768" w:type="dxa"/>
            <w:vMerge w:val="continue"/>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2724"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pPr>
            <w:r>
              <w:rPr>
                <w:rFonts w:hint="eastAsia" w:ascii="宋体" w:hAnsi="宋体" w:eastAsia="宋体" w:cs="宋体"/>
                <w:sz w:val="15"/>
                <w:szCs w:val="15"/>
                <w:bdr w:val="none" w:color="auto" w:sz="0" w:space="0"/>
              </w:rPr>
              <w:t>6.属于四类过程性信息</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624" w:type="dxa"/>
            <w:vMerge w:val="continue"/>
            <w:tcBorders>
              <w:top w:val="nil"/>
              <w:left w:val="single" w:color="000000" w:sz="4" w:space="0"/>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768" w:type="dxa"/>
            <w:vMerge w:val="continue"/>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2724"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pPr>
            <w:r>
              <w:rPr>
                <w:rFonts w:hint="eastAsia" w:ascii="宋体" w:hAnsi="宋体" w:eastAsia="宋体" w:cs="宋体"/>
                <w:sz w:val="15"/>
                <w:szCs w:val="15"/>
                <w:bdr w:val="none" w:color="auto" w:sz="0" w:space="0"/>
              </w:rPr>
              <w:t>7.属于行政执法案卷</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624" w:type="dxa"/>
            <w:vMerge w:val="continue"/>
            <w:tcBorders>
              <w:top w:val="nil"/>
              <w:left w:val="single" w:color="000000" w:sz="4" w:space="0"/>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768" w:type="dxa"/>
            <w:vMerge w:val="continue"/>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2724"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pPr>
            <w:r>
              <w:rPr>
                <w:rFonts w:hint="eastAsia" w:ascii="宋体" w:hAnsi="宋体" w:eastAsia="宋体" w:cs="宋体"/>
                <w:sz w:val="15"/>
                <w:szCs w:val="15"/>
                <w:bdr w:val="none" w:color="auto" w:sz="0" w:space="0"/>
              </w:rPr>
              <w:t>8.属于行政查询事项</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624" w:type="dxa"/>
            <w:vMerge w:val="continue"/>
            <w:tcBorders>
              <w:top w:val="nil"/>
              <w:left w:val="single" w:color="000000" w:sz="4" w:space="0"/>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768" w:type="dxa"/>
            <w:vMerge w:val="restart"/>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（四）无法提供</w:t>
            </w:r>
          </w:p>
        </w:tc>
        <w:tc>
          <w:tcPr>
            <w:tcW w:w="2724"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pPr>
            <w:r>
              <w:rPr>
                <w:rFonts w:hint="eastAsia" w:ascii="宋体" w:hAnsi="宋体" w:eastAsia="宋体" w:cs="宋体"/>
                <w:sz w:val="15"/>
                <w:szCs w:val="15"/>
                <w:bdr w:val="none" w:color="auto" w:sz="0" w:space="0"/>
              </w:rPr>
              <w:t>1.本机关不掌握相关政府信息</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624" w:type="dxa"/>
            <w:vMerge w:val="continue"/>
            <w:tcBorders>
              <w:top w:val="nil"/>
              <w:left w:val="single" w:color="000000" w:sz="4" w:space="0"/>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768" w:type="dxa"/>
            <w:vMerge w:val="continue"/>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2724"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pPr>
            <w:r>
              <w:rPr>
                <w:rFonts w:hint="eastAsia" w:ascii="宋体" w:hAnsi="宋体" w:eastAsia="宋体" w:cs="宋体"/>
                <w:sz w:val="15"/>
                <w:szCs w:val="15"/>
                <w:bdr w:val="none" w:color="auto" w:sz="0" w:space="0"/>
              </w:rPr>
              <w:t>2.没有现成信息需要另行制作</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624" w:type="dxa"/>
            <w:vMerge w:val="continue"/>
            <w:tcBorders>
              <w:top w:val="nil"/>
              <w:left w:val="single" w:color="000000" w:sz="4" w:space="0"/>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768" w:type="dxa"/>
            <w:vMerge w:val="continue"/>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2724"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pPr>
            <w:r>
              <w:rPr>
                <w:rFonts w:hint="eastAsia" w:ascii="宋体" w:hAnsi="宋体" w:eastAsia="宋体" w:cs="宋体"/>
                <w:sz w:val="15"/>
                <w:szCs w:val="15"/>
                <w:bdr w:val="none" w:color="auto" w:sz="0" w:space="0"/>
              </w:rPr>
              <w:t>3.补正后申请内容仍不明确</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624" w:type="dxa"/>
            <w:vMerge w:val="continue"/>
            <w:tcBorders>
              <w:top w:val="nil"/>
              <w:left w:val="single" w:color="000000" w:sz="4" w:space="0"/>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768" w:type="dxa"/>
            <w:vMerge w:val="restart"/>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（五）不予处理</w:t>
            </w:r>
          </w:p>
        </w:tc>
        <w:tc>
          <w:tcPr>
            <w:tcW w:w="2724"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pPr>
            <w:r>
              <w:rPr>
                <w:rFonts w:hint="eastAsia" w:ascii="宋体" w:hAnsi="宋体" w:eastAsia="宋体" w:cs="宋体"/>
                <w:sz w:val="15"/>
                <w:szCs w:val="15"/>
                <w:bdr w:val="none" w:color="auto" w:sz="0" w:space="0"/>
              </w:rPr>
              <w:t>1.信访举报投诉类申请</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624" w:type="dxa"/>
            <w:vMerge w:val="continue"/>
            <w:tcBorders>
              <w:top w:val="nil"/>
              <w:left w:val="single" w:color="000000" w:sz="4" w:space="0"/>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768" w:type="dxa"/>
            <w:vMerge w:val="continue"/>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2724"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pPr>
            <w:r>
              <w:rPr>
                <w:rFonts w:hint="eastAsia" w:ascii="宋体" w:hAnsi="宋体" w:eastAsia="宋体" w:cs="宋体"/>
                <w:sz w:val="15"/>
                <w:szCs w:val="15"/>
                <w:bdr w:val="none" w:color="auto" w:sz="0" w:space="0"/>
              </w:rPr>
              <w:t>2.重复申请</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624" w:type="dxa"/>
            <w:vMerge w:val="continue"/>
            <w:tcBorders>
              <w:top w:val="nil"/>
              <w:left w:val="single" w:color="000000" w:sz="4" w:space="0"/>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768" w:type="dxa"/>
            <w:vMerge w:val="continue"/>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2724"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pPr>
            <w:r>
              <w:rPr>
                <w:rFonts w:hint="eastAsia" w:ascii="宋体" w:hAnsi="宋体" w:eastAsia="宋体" w:cs="宋体"/>
                <w:sz w:val="15"/>
                <w:szCs w:val="15"/>
                <w:bdr w:val="none" w:color="auto" w:sz="0" w:space="0"/>
              </w:rPr>
              <w:t>3.要求提供公开出版物</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624" w:type="dxa"/>
            <w:vMerge w:val="continue"/>
            <w:tcBorders>
              <w:top w:val="nil"/>
              <w:left w:val="single" w:color="000000" w:sz="4" w:space="0"/>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768" w:type="dxa"/>
            <w:vMerge w:val="continue"/>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2724"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pPr>
            <w:r>
              <w:rPr>
                <w:rFonts w:hint="eastAsia" w:ascii="宋体" w:hAnsi="宋体" w:eastAsia="宋体" w:cs="宋体"/>
                <w:sz w:val="15"/>
                <w:szCs w:val="15"/>
                <w:bdr w:val="none" w:color="auto" w:sz="0" w:space="0"/>
              </w:rPr>
              <w:t>4.无正当理由大量反复申请</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24" w:hRule="atLeast"/>
          <w:tblCellSpacing w:w="0" w:type="dxa"/>
        </w:trPr>
        <w:tc>
          <w:tcPr>
            <w:tcW w:w="624" w:type="dxa"/>
            <w:vMerge w:val="continue"/>
            <w:tcBorders>
              <w:top w:val="nil"/>
              <w:left w:val="single" w:color="000000" w:sz="4" w:space="0"/>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768" w:type="dxa"/>
            <w:vMerge w:val="continue"/>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2724" w:type="dxa"/>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both"/>
            </w:pPr>
            <w:r>
              <w:rPr>
                <w:rFonts w:hint="eastAsia" w:ascii="宋体" w:hAnsi="宋体" w:eastAsia="宋体" w:cs="宋体"/>
                <w:sz w:val="15"/>
                <w:szCs w:val="15"/>
              </w:rPr>
              <w:t>5.要求行政机关确认或重新出具已获取信息</w:t>
            </w:r>
          </w:p>
        </w:tc>
        <w:tc>
          <w:tcPr>
            <w:tcW w:w="576" w:type="dxa"/>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624" w:type="dxa"/>
            <w:vMerge w:val="continue"/>
            <w:tcBorders>
              <w:top w:val="nil"/>
              <w:left w:val="single" w:color="000000" w:sz="4" w:space="0"/>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768" w:type="dxa"/>
            <w:vMerge w:val="restart"/>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（六）其他处理</w:t>
            </w:r>
          </w:p>
        </w:tc>
        <w:tc>
          <w:tcPr>
            <w:tcW w:w="2724"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both"/>
            </w:pPr>
            <w:r>
              <w:rPr>
                <w:rFonts w:hint="eastAsia" w:ascii="宋体" w:hAnsi="宋体" w:eastAsia="宋体" w:cs="宋体"/>
                <w:sz w:val="15"/>
                <w:szCs w:val="15"/>
              </w:rPr>
              <w:t>1.申请人无正当理由逾期不补正、行政机关不再处理其政府信息公开申请</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624" w:type="dxa"/>
            <w:vMerge w:val="continue"/>
            <w:tcBorders>
              <w:top w:val="nil"/>
              <w:left w:val="single" w:color="000000" w:sz="4" w:space="0"/>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768" w:type="dxa"/>
            <w:vMerge w:val="continue"/>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2724"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both"/>
            </w:pPr>
            <w:r>
              <w:rPr>
                <w:rFonts w:hint="eastAsia" w:ascii="宋体" w:hAnsi="宋体" w:eastAsia="宋体" w:cs="宋体"/>
                <w:sz w:val="15"/>
                <w:szCs w:val="15"/>
              </w:rPr>
              <w:t>2.申请人逾期未按收费通知要求缴纳费用、行政机关不再处理其政府信息公开申请</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624" w:type="dxa"/>
            <w:vMerge w:val="continue"/>
            <w:tcBorders>
              <w:top w:val="nil"/>
              <w:left w:val="single" w:color="000000" w:sz="4" w:space="0"/>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768" w:type="dxa"/>
            <w:vMerge w:val="continue"/>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2724"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3.其他</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624" w:type="dxa"/>
            <w:vMerge w:val="continue"/>
            <w:tcBorders>
              <w:top w:val="nil"/>
              <w:left w:val="single" w:color="000000" w:sz="4" w:space="0"/>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3492" w:type="dxa"/>
            <w:gridSpan w:val="2"/>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（七）总计</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wordWrap w:val="0"/>
              <w:spacing w:before="0" w:beforeAutospacing="0" w:after="0" w:afterAutospacing="0"/>
              <w:ind w:left="0" w:right="0"/>
              <w:jc w:val="center"/>
            </w:pPr>
            <w:r>
              <w:t>1</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wordWrap w:val="0"/>
              <w:spacing w:before="0" w:beforeAutospacing="0" w:after="0" w:afterAutospacing="0"/>
              <w:ind w:left="0" w:right="0"/>
              <w:jc w:val="center"/>
            </w:pPr>
            <w: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4116" w:type="dxa"/>
            <w:gridSpan w:val="3"/>
            <w:tcBorders>
              <w:top w:val="nil"/>
              <w:left w:val="single" w:color="000000" w:sz="4" w:space="0"/>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四、结转下年度继续办理</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jc w:val="center"/>
            </w:pPr>
            <w:r>
              <w:rPr>
                <w:rFonts w:hint="eastAsia" w:ascii="宋体" w:hAnsi="宋体" w:eastAsia="宋体" w:cs="宋体"/>
                <w:sz w:val="19"/>
                <w:szCs w:val="19"/>
                <w:bdr w:val="none" w:color="auto" w:sz="0" w:space="0"/>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pPr>
      <w:r>
        <w:rPr>
          <w:rFonts w:hint="eastAsia" w:ascii="宋体" w:hAnsi="宋体" w:eastAsia="宋体" w:cs="宋体"/>
          <w:color w:val="333333"/>
          <w:spacing w:val="0"/>
          <w:sz w:val="19"/>
          <w:szCs w:val="19"/>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36"/>
        <w:jc w:val="both"/>
      </w:pPr>
      <w:r>
        <w:rPr>
          <w:rStyle w:val="5"/>
          <w:rFonts w:hint="eastAsia" w:ascii="黑体" w:hAnsi="宋体" w:eastAsia="黑体" w:cs="黑体"/>
          <w:color w:val="333333"/>
          <w:spacing w:val="0"/>
          <w:sz w:val="25"/>
          <w:szCs w:val="25"/>
          <w:bdr w:val="none" w:color="auto" w:sz="0" w:space="0"/>
          <w:shd w:val="clear" w:fill="FFFFFF"/>
        </w:rPr>
        <w:t>四、政府信息公开行政复议、行政诉讼情况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pPr>
      <w:r>
        <w:rPr>
          <w:rFonts w:hint="eastAsia" w:ascii="宋体" w:hAnsi="宋体" w:eastAsia="宋体" w:cs="宋体"/>
          <w:color w:val="333333"/>
          <w:spacing w:val="0"/>
          <w:sz w:val="19"/>
          <w:szCs w:val="19"/>
          <w:bdr w:val="none" w:color="auto" w:sz="0" w:space="0"/>
          <w:shd w:val="clear" w:fill="FFFFFF"/>
        </w:rPr>
        <w:t> </w:t>
      </w:r>
    </w:p>
    <w:tbl>
      <w:tblPr>
        <w:tblW w:w="7800" w:type="dxa"/>
        <w:tblCellSpacing w:w="0" w:type="dxa"/>
        <w:tblInd w:w="1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520"/>
        <w:gridCol w:w="520"/>
        <w:gridCol w:w="520"/>
        <w:gridCol w:w="520"/>
        <w:gridCol w:w="520"/>
        <w:gridCol w:w="520"/>
        <w:gridCol w:w="520"/>
        <w:gridCol w:w="520"/>
        <w:gridCol w:w="520"/>
        <w:gridCol w:w="520"/>
        <w:gridCol w:w="520"/>
        <w:gridCol w:w="520"/>
        <w:gridCol w:w="520"/>
        <w:gridCol w:w="520"/>
        <w:gridCol w:w="52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2568" w:type="dxa"/>
            <w:gridSpan w:val="5"/>
            <w:tcBorders>
              <w:top w:val="single" w:color="000000" w:sz="4" w:space="0"/>
              <w:left w:val="single" w:color="000000" w:sz="4" w:space="0"/>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5"/>
                <w:szCs w:val="15"/>
              </w:rPr>
              <w:t>行政复议</w:t>
            </w:r>
          </w:p>
        </w:tc>
        <w:tc>
          <w:tcPr>
            <w:tcW w:w="5148" w:type="dxa"/>
            <w:gridSpan w:val="10"/>
            <w:tcBorders>
              <w:top w:val="single" w:color="000000" w:sz="4" w:space="0"/>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5"/>
                <w:szCs w:val="15"/>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516" w:type="dxa"/>
            <w:vMerge w:val="restart"/>
            <w:tcBorders>
              <w:top w:val="nil"/>
              <w:left w:val="single" w:color="000000" w:sz="4" w:space="0"/>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5"/>
                <w:szCs w:val="15"/>
              </w:rPr>
              <w:t>结果维持</w:t>
            </w:r>
          </w:p>
        </w:tc>
        <w:tc>
          <w:tcPr>
            <w:tcW w:w="516" w:type="dxa"/>
            <w:vMerge w:val="restart"/>
            <w:tcBorders>
              <w:top w:val="nil"/>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5"/>
                <w:szCs w:val="15"/>
              </w:rPr>
              <w:t>结果</w:t>
            </w:r>
            <w:r>
              <w:rPr>
                <w:rFonts w:hint="eastAsia" w:ascii="宋体" w:hAnsi="宋体" w:eastAsia="宋体" w:cs="宋体"/>
                <w:sz w:val="15"/>
                <w:szCs w:val="15"/>
              </w:rPr>
              <w:br w:type="textWrapping"/>
            </w:r>
            <w:r>
              <w:rPr>
                <w:rFonts w:hint="eastAsia" w:ascii="宋体" w:hAnsi="宋体" w:eastAsia="宋体" w:cs="宋体"/>
                <w:sz w:val="15"/>
                <w:szCs w:val="15"/>
              </w:rPr>
              <w:t>纠正</w:t>
            </w:r>
          </w:p>
        </w:tc>
        <w:tc>
          <w:tcPr>
            <w:tcW w:w="516" w:type="dxa"/>
            <w:vMerge w:val="restart"/>
            <w:tcBorders>
              <w:top w:val="single" w:color="000000" w:sz="4" w:space="0"/>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5"/>
                <w:szCs w:val="15"/>
              </w:rPr>
              <w:t>其他</w:t>
            </w:r>
            <w:r>
              <w:rPr>
                <w:rFonts w:hint="eastAsia" w:ascii="宋体" w:hAnsi="宋体" w:eastAsia="宋体" w:cs="宋体"/>
                <w:sz w:val="15"/>
                <w:szCs w:val="15"/>
              </w:rPr>
              <w:br w:type="textWrapping"/>
            </w:r>
            <w:r>
              <w:rPr>
                <w:rFonts w:hint="eastAsia" w:ascii="宋体" w:hAnsi="宋体" w:eastAsia="宋体" w:cs="宋体"/>
                <w:sz w:val="15"/>
                <w:szCs w:val="15"/>
              </w:rPr>
              <w:t>结果</w:t>
            </w:r>
          </w:p>
        </w:tc>
        <w:tc>
          <w:tcPr>
            <w:tcW w:w="516" w:type="dxa"/>
            <w:vMerge w:val="restart"/>
            <w:tcBorders>
              <w:top w:val="single" w:color="000000" w:sz="4" w:space="0"/>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5"/>
                <w:szCs w:val="15"/>
              </w:rPr>
              <w:t>尚未</w:t>
            </w:r>
            <w:r>
              <w:rPr>
                <w:rFonts w:hint="eastAsia" w:ascii="宋体" w:hAnsi="宋体" w:eastAsia="宋体" w:cs="宋体"/>
                <w:sz w:val="15"/>
                <w:szCs w:val="15"/>
              </w:rPr>
              <w:br w:type="textWrapping"/>
            </w:r>
            <w:r>
              <w:rPr>
                <w:rFonts w:hint="eastAsia" w:ascii="宋体" w:hAnsi="宋体" w:eastAsia="宋体" w:cs="宋体"/>
                <w:sz w:val="15"/>
                <w:szCs w:val="15"/>
              </w:rPr>
              <w:t>审结</w:t>
            </w:r>
          </w:p>
        </w:tc>
        <w:tc>
          <w:tcPr>
            <w:tcW w:w="516" w:type="dxa"/>
            <w:vMerge w:val="restart"/>
            <w:tcBorders>
              <w:top w:val="single" w:color="000000" w:sz="4" w:space="0"/>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5"/>
                <w:szCs w:val="15"/>
              </w:rPr>
              <w:t>总计</w:t>
            </w:r>
          </w:p>
        </w:tc>
        <w:tc>
          <w:tcPr>
            <w:tcW w:w="2568" w:type="dxa"/>
            <w:gridSpan w:val="5"/>
            <w:tcBorders>
              <w:top w:val="single" w:color="000000" w:sz="4" w:space="0"/>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5"/>
                <w:szCs w:val="15"/>
              </w:rPr>
              <w:t>未经复议直接起诉</w:t>
            </w:r>
          </w:p>
        </w:tc>
        <w:tc>
          <w:tcPr>
            <w:tcW w:w="2568" w:type="dxa"/>
            <w:gridSpan w:val="5"/>
            <w:tcBorders>
              <w:top w:val="single" w:color="000000" w:sz="4" w:space="0"/>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5"/>
                <w:szCs w:val="15"/>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516" w:type="dxa"/>
            <w:vMerge w:val="continue"/>
            <w:tcBorders>
              <w:top w:val="nil"/>
              <w:left w:val="single" w:color="000000" w:sz="4" w:space="0"/>
              <w:bottom w:val="single" w:color="000000" w:sz="4" w:space="0"/>
              <w:right w:val="single" w:color="000000" w:sz="4" w:space="0"/>
            </w:tcBorders>
            <w:shd w:val="clear"/>
            <w:tcMar>
              <w:top w:w="0" w:type="dxa"/>
              <w:left w:w="84" w:type="dxa"/>
              <w:bottom w:w="0" w:type="dxa"/>
              <w:right w:w="84" w:type="dxa"/>
            </w:tcMar>
            <w:vAlign w:val="center"/>
          </w:tcPr>
          <w:p>
            <w:pPr>
              <w:rPr>
                <w:rFonts w:hint="eastAsia" w:ascii="宋体"/>
                <w:sz w:val="24"/>
                <w:szCs w:val="24"/>
              </w:rPr>
            </w:pPr>
          </w:p>
        </w:tc>
        <w:tc>
          <w:tcPr>
            <w:tcW w:w="516" w:type="dxa"/>
            <w:vMerge w:val="continue"/>
            <w:tcBorders>
              <w:top w:val="nil"/>
              <w:left w:val="nil"/>
              <w:bottom w:val="single" w:color="000000" w:sz="4" w:space="0"/>
              <w:right w:val="single" w:color="000000" w:sz="4" w:space="0"/>
            </w:tcBorders>
            <w:shd w:val="clear"/>
            <w:tcMar>
              <w:top w:w="0" w:type="dxa"/>
              <w:left w:w="84" w:type="dxa"/>
              <w:bottom w:w="0" w:type="dxa"/>
              <w:right w:w="84" w:type="dxa"/>
            </w:tcMar>
            <w:vAlign w:val="center"/>
          </w:tcPr>
          <w:p>
            <w:pPr>
              <w:rPr>
                <w:rFonts w:hint="eastAsia" w:ascii="宋体"/>
                <w:sz w:val="24"/>
                <w:szCs w:val="24"/>
              </w:rPr>
            </w:pPr>
          </w:p>
        </w:tc>
        <w:tc>
          <w:tcPr>
            <w:tcW w:w="516" w:type="dxa"/>
            <w:vMerge w:val="continue"/>
            <w:tcBorders>
              <w:top w:val="single" w:color="000000" w:sz="4" w:space="0"/>
              <w:left w:val="nil"/>
              <w:bottom w:val="single" w:color="000000" w:sz="4" w:space="0"/>
              <w:right w:val="single" w:color="000000" w:sz="4" w:space="0"/>
            </w:tcBorders>
            <w:shd w:val="clear"/>
            <w:tcMar>
              <w:top w:w="0" w:type="dxa"/>
              <w:left w:w="84" w:type="dxa"/>
              <w:bottom w:w="0" w:type="dxa"/>
              <w:right w:w="84" w:type="dxa"/>
            </w:tcMar>
            <w:vAlign w:val="center"/>
          </w:tcPr>
          <w:p>
            <w:pPr>
              <w:rPr>
                <w:rFonts w:hint="eastAsia" w:ascii="宋体"/>
                <w:sz w:val="24"/>
                <w:szCs w:val="24"/>
              </w:rPr>
            </w:pPr>
          </w:p>
        </w:tc>
        <w:tc>
          <w:tcPr>
            <w:tcW w:w="516" w:type="dxa"/>
            <w:vMerge w:val="continue"/>
            <w:tcBorders>
              <w:top w:val="single" w:color="000000" w:sz="4" w:space="0"/>
              <w:left w:val="nil"/>
              <w:bottom w:val="single" w:color="000000" w:sz="4" w:space="0"/>
              <w:right w:val="single" w:color="000000" w:sz="4" w:space="0"/>
            </w:tcBorders>
            <w:shd w:val="clear"/>
            <w:tcMar>
              <w:top w:w="0" w:type="dxa"/>
              <w:left w:w="84" w:type="dxa"/>
              <w:bottom w:w="0" w:type="dxa"/>
              <w:right w:w="84" w:type="dxa"/>
            </w:tcMar>
            <w:vAlign w:val="center"/>
          </w:tcPr>
          <w:p>
            <w:pPr>
              <w:rPr>
                <w:rFonts w:hint="eastAsia" w:ascii="宋体"/>
                <w:sz w:val="24"/>
                <w:szCs w:val="24"/>
              </w:rPr>
            </w:pPr>
          </w:p>
        </w:tc>
        <w:tc>
          <w:tcPr>
            <w:tcW w:w="516" w:type="dxa"/>
            <w:vMerge w:val="continue"/>
            <w:tcBorders>
              <w:top w:val="single" w:color="000000" w:sz="4" w:space="0"/>
              <w:left w:val="nil"/>
              <w:bottom w:val="single" w:color="000000" w:sz="4" w:space="0"/>
              <w:right w:val="single" w:color="000000" w:sz="4" w:space="0"/>
            </w:tcBorders>
            <w:shd w:val="clear"/>
            <w:tcMar>
              <w:top w:w="0" w:type="dxa"/>
              <w:left w:w="84" w:type="dxa"/>
              <w:bottom w:w="0" w:type="dxa"/>
              <w:right w:w="84" w:type="dxa"/>
            </w:tcMar>
            <w:vAlign w:val="center"/>
          </w:tcPr>
          <w:p>
            <w:pPr>
              <w:rPr>
                <w:rFonts w:hint="eastAsia" w:ascii="宋体"/>
                <w:sz w:val="24"/>
                <w:szCs w:val="24"/>
              </w:rPr>
            </w:pPr>
          </w:p>
        </w:tc>
        <w:tc>
          <w:tcPr>
            <w:tcW w:w="516" w:type="dxa"/>
            <w:tcBorders>
              <w:top w:val="nil"/>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5"/>
                <w:szCs w:val="15"/>
              </w:rPr>
              <w:t>结果</w:t>
            </w:r>
            <w:r>
              <w:rPr>
                <w:rFonts w:hint="eastAsia" w:ascii="宋体" w:hAnsi="宋体" w:eastAsia="宋体" w:cs="宋体"/>
                <w:sz w:val="15"/>
                <w:szCs w:val="15"/>
              </w:rPr>
              <w:br w:type="textWrapping"/>
            </w:r>
            <w:r>
              <w:rPr>
                <w:rFonts w:hint="eastAsia" w:ascii="宋体" w:hAnsi="宋体" w:eastAsia="宋体" w:cs="宋体"/>
                <w:sz w:val="15"/>
                <w:szCs w:val="15"/>
              </w:rPr>
              <w:t>维持</w:t>
            </w:r>
          </w:p>
        </w:tc>
        <w:tc>
          <w:tcPr>
            <w:tcW w:w="516" w:type="dxa"/>
            <w:tcBorders>
              <w:top w:val="nil"/>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5"/>
                <w:szCs w:val="15"/>
              </w:rPr>
              <w:t>结果</w:t>
            </w:r>
            <w:r>
              <w:rPr>
                <w:rFonts w:hint="eastAsia" w:ascii="宋体" w:hAnsi="宋体" w:eastAsia="宋体" w:cs="宋体"/>
                <w:sz w:val="15"/>
                <w:szCs w:val="15"/>
              </w:rPr>
              <w:br w:type="textWrapping"/>
            </w:r>
            <w:r>
              <w:rPr>
                <w:rFonts w:hint="eastAsia" w:ascii="宋体" w:hAnsi="宋体" w:eastAsia="宋体" w:cs="宋体"/>
                <w:sz w:val="15"/>
                <w:szCs w:val="15"/>
              </w:rPr>
              <w:t>纠正</w:t>
            </w:r>
          </w:p>
        </w:tc>
        <w:tc>
          <w:tcPr>
            <w:tcW w:w="516" w:type="dxa"/>
            <w:tcBorders>
              <w:top w:val="single" w:color="000000" w:sz="4" w:space="0"/>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5"/>
                <w:szCs w:val="15"/>
              </w:rPr>
              <w:t>其他</w:t>
            </w:r>
            <w:r>
              <w:rPr>
                <w:rFonts w:hint="eastAsia" w:ascii="宋体" w:hAnsi="宋体" w:eastAsia="宋体" w:cs="宋体"/>
                <w:sz w:val="15"/>
                <w:szCs w:val="15"/>
              </w:rPr>
              <w:br w:type="textWrapping"/>
            </w:r>
            <w:r>
              <w:rPr>
                <w:rFonts w:hint="eastAsia" w:ascii="宋体" w:hAnsi="宋体" w:eastAsia="宋体" w:cs="宋体"/>
                <w:sz w:val="15"/>
                <w:szCs w:val="15"/>
              </w:rPr>
              <w:t>结果</w:t>
            </w:r>
          </w:p>
        </w:tc>
        <w:tc>
          <w:tcPr>
            <w:tcW w:w="516" w:type="dxa"/>
            <w:tcBorders>
              <w:top w:val="single" w:color="000000" w:sz="4" w:space="0"/>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5"/>
                <w:szCs w:val="15"/>
              </w:rPr>
              <w:t>尚未</w:t>
            </w:r>
            <w:r>
              <w:rPr>
                <w:rFonts w:hint="eastAsia" w:ascii="宋体" w:hAnsi="宋体" w:eastAsia="宋体" w:cs="宋体"/>
                <w:sz w:val="15"/>
                <w:szCs w:val="15"/>
              </w:rPr>
              <w:br w:type="textWrapping"/>
            </w:r>
            <w:r>
              <w:rPr>
                <w:rFonts w:hint="eastAsia" w:ascii="宋体" w:hAnsi="宋体" w:eastAsia="宋体" w:cs="宋体"/>
                <w:sz w:val="15"/>
                <w:szCs w:val="15"/>
              </w:rPr>
              <w:t>审结</w:t>
            </w:r>
          </w:p>
        </w:tc>
        <w:tc>
          <w:tcPr>
            <w:tcW w:w="516" w:type="dxa"/>
            <w:tcBorders>
              <w:top w:val="single" w:color="000000" w:sz="4" w:space="0"/>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5"/>
                <w:szCs w:val="15"/>
              </w:rPr>
              <w:t>总计</w:t>
            </w:r>
          </w:p>
        </w:tc>
        <w:tc>
          <w:tcPr>
            <w:tcW w:w="516" w:type="dxa"/>
            <w:tcBorders>
              <w:top w:val="single" w:color="000000" w:sz="4" w:space="0"/>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5"/>
                <w:szCs w:val="15"/>
              </w:rPr>
              <w:t>结果</w:t>
            </w:r>
            <w:r>
              <w:rPr>
                <w:rFonts w:hint="eastAsia" w:ascii="宋体" w:hAnsi="宋体" w:eastAsia="宋体" w:cs="宋体"/>
                <w:sz w:val="15"/>
                <w:szCs w:val="15"/>
              </w:rPr>
              <w:br w:type="textWrapping"/>
            </w:r>
            <w:r>
              <w:rPr>
                <w:rFonts w:hint="eastAsia" w:ascii="宋体" w:hAnsi="宋体" w:eastAsia="宋体" w:cs="宋体"/>
                <w:sz w:val="15"/>
                <w:szCs w:val="15"/>
              </w:rPr>
              <w:t>维持</w:t>
            </w:r>
          </w:p>
        </w:tc>
        <w:tc>
          <w:tcPr>
            <w:tcW w:w="516" w:type="dxa"/>
            <w:tcBorders>
              <w:top w:val="single" w:color="000000" w:sz="4" w:space="0"/>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5"/>
                <w:szCs w:val="15"/>
              </w:rPr>
              <w:t>结果</w:t>
            </w:r>
            <w:r>
              <w:rPr>
                <w:rFonts w:hint="eastAsia" w:ascii="宋体" w:hAnsi="宋体" w:eastAsia="宋体" w:cs="宋体"/>
                <w:sz w:val="15"/>
                <w:szCs w:val="15"/>
              </w:rPr>
              <w:br w:type="textWrapping"/>
            </w:r>
            <w:r>
              <w:rPr>
                <w:rFonts w:hint="eastAsia" w:ascii="宋体" w:hAnsi="宋体" w:eastAsia="宋体" w:cs="宋体"/>
                <w:sz w:val="15"/>
                <w:szCs w:val="15"/>
              </w:rPr>
              <w:t>纠正</w:t>
            </w:r>
          </w:p>
        </w:tc>
        <w:tc>
          <w:tcPr>
            <w:tcW w:w="516" w:type="dxa"/>
            <w:tcBorders>
              <w:top w:val="single" w:color="000000" w:sz="4" w:space="0"/>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5"/>
                <w:szCs w:val="15"/>
              </w:rPr>
              <w:t>其他</w:t>
            </w:r>
            <w:r>
              <w:rPr>
                <w:rFonts w:hint="eastAsia" w:ascii="宋体" w:hAnsi="宋体" w:eastAsia="宋体" w:cs="宋体"/>
                <w:sz w:val="15"/>
                <w:szCs w:val="15"/>
              </w:rPr>
              <w:br w:type="textWrapping"/>
            </w:r>
            <w:r>
              <w:rPr>
                <w:rFonts w:hint="eastAsia" w:ascii="宋体" w:hAnsi="宋体" w:eastAsia="宋体" w:cs="宋体"/>
                <w:sz w:val="15"/>
                <w:szCs w:val="15"/>
              </w:rPr>
              <w:t>结果</w:t>
            </w:r>
          </w:p>
        </w:tc>
        <w:tc>
          <w:tcPr>
            <w:tcW w:w="516" w:type="dxa"/>
            <w:tcBorders>
              <w:top w:val="single" w:color="000000" w:sz="4" w:space="0"/>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5"/>
                <w:szCs w:val="15"/>
              </w:rPr>
              <w:t>尚未</w:t>
            </w:r>
            <w:r>
              <w:rPr>
                <w:rFonts w:hint="eastAsia" w:ascii="宋体" w:hAnsi="宋体" w:eastAsia="宋体" w:cs="宋体"/>
                <w:sz w:val="15"/>
                <w:szCs w:val="15"/>
              </w:rPr>
              <w:br w:type="textWrapping"/>
            </w:r>
            <w:r>
              <w:rPr>
                <w:rFonts w:hint="eastAsia" w:ascii="宋体" w:hAnsi="宋体" w:eastAsia="宋体" w:cs="宋体"/>
                <w:sz w:val="15"/>
                <w:szCs w:val="15"/>
              </w:rPr>
              <w:t>审结</w:t>
            </w:r>
          </w:p>
        </w:tc>
        <w:tc>
          <w:tcPr>
            <w:tcW w:w="516" w:type="dxa"/>
            <w:tcBorders>
              <w:top w:val="single" w:color="000000" w:sz="4" w:space="0"/>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5"/>
                <w:szCs w:val="15"/>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blCellSpacing w:w="0" w:type="dxa"/>
        </w:trPr>
        <w:tc>
          <w:tcPr>
            <w:tcW w:w="516" w:type="dxa"/>
            <w:tcBorders>
              <w:top w:val="nil"/>
              <w:left w:val="single" w:color="000000" w:sz="4" w:space="0"/>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default" w:ascii="Calibri" w:hAnsi="Calibri" w:eastAsia="Calibri" w:cs="Calibri"/>
                <w:sz w:val="16"/>
                <w:szCs w:val="16"/>
              </w:rPr>
              <w:t>0</w:t>
            </w:r>
          </w:p>
        </w:tc>
        <w:tc>
          <w:tcPr>
            <w:tcW w:w="516" w:type="dxa"/>
            <w:tcBorders>
              <w:top w:val="nil"/>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default" w:ascii="Calibri" w:hAnsi="Calibri" w:eastAsia="Calibri" w:cs="Calibri"/>
                <w:sz w:val="16"/>
                <w:szCs w:val="16"/>
              </w:rPr>
              <w:t>0</w:t>
            </w:r>
          </w:p>
        </w:tc>
        <w:tc>
          <w:tcPr>
            <w:tcW w:w="516" w:type="dxa"/>
            <w:tcBorders>
              <w:top w:val="nil"/>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default" w:ascii="Calibri" w:hAnsi="Calibri" w:eastAsia="Calibri" w:cs="Calibri"/>
                <w:sz w:val="16"/>
                <w:szCs w:val="16"/>
              </w:rPr>
              <w:t>0</w:t>
            </w:r>
          </w:p>
        </w:tc>
        <w:tc>
          <w:tcPr>
            <w:tcW w:w="516" w:type="dxa"/>
            <w:tcBorders>
              <w:top w:val="nil"/>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default" w:ascii="Calibri" w:hAnsi="Calibri" w:eastAsia="Calibri" w:cs="Calibri"/>
                <w:sz w:val="16"/>
                <w:szCs w:val="16"/>
              </w:rPr>
              <w:t>0</w:t>
            </w:r>
          </w:p>
        </w:tc>
        <w:tc>
          <w:tcPr>
            <w:tcW w:w="516" w:type="dxa"/>
            <w:tcBorders>
              <w:top w:val="nil"/>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default" w:ascii="Calibri" w:hAnsi="Calibri" w:eastAsia="Calibri" w:cs="Calibri"/>
                <w:sz w:val="16"/>
                <w:szCs w:val="16"/>
              </w:rPr>
              <w:t>0</w:t>
            </w:r>
          </w:p>
        </w:tc>
        <w:tc>
          <w:tcPr>
            <w:tcW w:w="516" w:type="dxa"/>
            <w:tcBorders>
              <w:top w:val="nil"/>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default" w:ascii="Calibri" w:hAnsi="Calibri" w:eastAsia="Calibri" w:cs="Calibri"/>
                <w:sz w:val="16"/>
                <w:szCs w:val="16"/>
              </w:rPr>
              <w:t>0</w:t>
            </w:r>
          </w:p>
        </w:tc>
        <w:tc>
          <w:tcPr>
            <w:tcW w:w="516" w:type="dxa"/>
            <w:tcBorders>
              <w:top w:val="nil"/>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default" w:ascii="Calibri" w:hAnsi="Calibri" w:eastAsia="Calibri" w:cs="Calibri"/>
                <w:sz w:val="16"/>
                <w:szCs w:val="16"/>
              </w:rPr>
              <w:t>0</w:t>
            </w:r>
          </w:p>
        </w:tc>
        <w:tc>
          <w:tcPr>
            <w:tcW w:w="516" w:type="dxa"/>
            <w:tcBorders>
              <w:top w:val="nil"/>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default" w:ascii="Calibri" w:hAnsi="Calibri" w:eastAsia="Calibri" w:cs="Calibri"/>
                <w:sz w:val="16"/>
                <w:szCs w:val="16"/>
              </w:rPr>
              <w:t>0</w:t>
            </w:r>
          </w:p>
        </w:tc>
        <w:tc>
          <w:tcPr>
            <w:tcW w:w="516" w:type="dxa"/>
            <w:tcBorders>
              <w:top w:val="nil"/>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default" w:ascii="Calibri" w:hAnsi="Calibri" w:eastAsia="Calibri" w:cs="Calibri"/>
                <w:sz w:val="16"/>
                <w:szCs w:val="16"/>
              </w:rPr>
              <w:t>0</w:t>
            </w:r>
          </w:p>
        </w:tc>
        <w:tc>
          <w:tcPr>
            <w:tcW w:w="516" w:type="dxa"/>
            <w:tcBorders>
              <w:top w:val="nil"/>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default" w:ascii="Calibri" w:hAnsi="Calibri" w:eastAsia="Calibri" w:cs="Calibri"/>
                <w:sz w:val="16"/>
                <w:szCs w:val="16"/>
              </w:rPr>
              <w:t>0</w:t>
            </w:r>
          </w:p>
        </w:tc>
        <w:tc>
          <w:tcPr>
            <w:tcW w:w="516" w:type="dxa"/>
            <w:tcBorders>
              <w:top w:val="nil"/>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default" w:ascii="Calibri" w:hAnsi="Calibri" w:eastAsia="Calibri" w:cs="Calibri"/>
                <w:sz w:val="16"/>
                <w:szCs w:val="16"/>
              </w:rPr>
              <w:t>0</w:t>
            </w:r>
          </w:p>
        </w:tc>
        <w:tc>
          <w:tcPr>
            <w:tcW w:w="516" w:type="dxa"/>
            <w:tcBorders>
              <w:top w:val="nil"/>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default" w:ascii="Calibri" w:hAnsi="Calibri" w:eastAsia="Calibri" w:cs="Calibri"/>
                <w:sz w:val="16"/>
                <w:szCs w:val="16"/>
              </w:rPr>
              <w:t>0</w:t>
            </w:r>
          </w:p>
        </w:tc>
        <w:tc>
          <w:tcPr>
            <w:tcW w:w="516" w:type="dxa"/>
            <w:tcBorders>
              <w:top w:val="nil"/>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default" w:ascii="Calibri" w:hAnsi="Calibri" w:eastAsia="Calibri" w:cs="Calibri"/>
                <w:sz w:val="16"/>
                <w:szCs w:val="16"/>
              </w:rPr>
              <w:t>0</w:t>
            </w:r>
          </w:p>
        </w:tc>
        <w:tc>
          <w:tcPr>
            <w:tcW w:w="516" w:type="dxa"/>
            <w:tcBorders>
              <w:top w:val="nil"/>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default" w:ascii="Calibri" w:hAnsi="Calibri" w:eastAsia="Calibri" w:cs="Calibri"/>
                <w:sz w:val="16"/>
                <w:szCs w:val="16"/>
              </w:rPr>
              <w:t>0</w:t>
            </w:r>
          </w:p>
        </w:tc>
        <w:tc>
          <w:tcPr>
            <w:tcW w:w="516" w:type="dxa"/>
            <w:tcBorders>
              <w:top w:val="nil"/>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444" w:lineRule="atLeast"/>
        <w:ind w:left="0" w:right="0" w:firstLine="492"/>
      </w:pPr>
      <w:r>
        <w:rPr>
          <w:rFonts w:hint="eastAsia" w:ascii="仿宋_GB2312" w:hAnsi="仿宋_GB2312" w:eastAsia="仿宋_GB2312" w:cs="仿宋_GB2312"/>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384"/>
      </w:pPr>
      <w:r>
        <w:rPr>
          <w:rFonts w:hint="eastAsia" w:ascii="黑体" w:hAnsi="宋体" w:eastAsia="黑体" w:cs="黑体"/>
          <w:spacing w:val="0"/>
          <w:sz w:val="25"/>
          <w:szCs w:val="25"/>
          <w:bdr w:val="none" w:color="auto" w:sz="0" w:space="0"/>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444" w:lineRule="atLeast"/>
        <w:ind w:left="0" w:right="0" w:firstLine="516"/>
      </w:pPr>
      <w:r>
        <w:rPr>
          <w:rFonts w:hint="eastAsia" w:ascii="仿宋_GB2312" w:hAnsi="仿宋_GB2312" w:eastAsia="仿宋_GB2312" w:cs="仿宋_GB2312"/>
          <w:spacing w:val="0"/>
          <w:sz w:val="25"/>
          <w:szCs w:val="25"/>
          <w:bdr w:val="none" w:color="auto" w:sz="0" w:space="0"/>
        </w:rPr>
        <w:t>1.存在问题主要表现在：工作中还存在政务信息公布内容不够全面等不足。</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444" w:lineRule="atLeast"/>
        <w:ind w:left="0" w:right="0" w:firstLine="516"/>
      </w:pPr>
      <w:r>
        <w:rPr>
          <w:rFonts w:hint="eastAsia" w:ascii="仿宋_GB2312" w:hAnsi="仿宋_GB2312" w:eastAsia="仿宋_GB2312" w:cs="仿宋_GB2312"/>
          <w:spacing w:val="0"/>
          <w:sz w:val="25"/>
          <w:szCs w:val="25"/>
          <w:bdr w:val="none" w:color="auto" w:sz="0" w:space="0"/>
        </w:rPr>
        <w:t>2.下一步工作中：一是加强《中华人民共和国政府信息公开条例》的学习贯彻；二是遵循严格依法、全面真实、及时便民的原则，严格执行“公开是原则，不公开是例外”的要求，及时、真实、准确、全面发布政务信息；三是建立健全政务公开长效机制，避免敷衍了事、走过场、加强检查监督，确保我局政府信息公开工作做出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Fonts w:hint="eastAsia" w:ascii="黑体" w:hAnsi="宋体" w:eastAsia="黑体" w:cs="黑体"/>
          <w:spacing w:val="0"/>
          <w:sz w:val="25"/>
          <w:szCs w:val="25"/>
          <w:bdr w:val="none" w:color="auto" w:sz="0" w:space="0"/>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92"/>
      </w:pPr>
      <w:r>
        <w:rPr>
          <w:rFonts w:ascii="仿宋_GB2312" w:eastAsia="仿宋_GB2312" w:cs="仿宋_GB2312"/>
          <w:i w:val="0"/>
          <w:iCs w:val="0"/>
          <w:caps w:val="0"/>
          <w:color w:val="000000"/>
          <w:spacing w:val="0"/>
          <w:sz w:val="25"/>
          <w:szCs w:val="25"/>
          <w:bdr w:val="none" w:color="auto" w:sz="0" w:space="0"/>
          <w:shd w:val="clear" w:fill="FFFFFF"/>
        </w:rPr>
        <w:t>我单位今年未发生收取信息处理费的情况。本年度无其他需要报告的事项。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36"/>
      </w:pPr>
      <w:r>
        <w:rPr>
          <w:rFonts w:hint="eastAsia" w:ascii="仿宋_GB2312" w:hAnsi="仿宋_GB2312" w:eastAsia="仿宋_GB2312" w:cs="仿宋_GB2312"/>
          <w:spacing w:val="0"/>
          <w:sz w:val="16"/>
          <w:szCs w:val="16"/>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36"/>
      </w:pPr>
      <w:r>
        <w:rPr>
          <w:rFonts w:hint="eastAsia" w:ascii="仿宋_GB2312" w:hAnsi="仿宋_GB2312" w:eastAsia="仿宋_GB2312" w:cs="仿宋_GB2312"/>
          <w:spacing w:val="0"/>
          <w:sz w:val="16"/>
          <w:szCs w:val="16"/>
          <w:bdr w:val="none" w:color="auto" w:sz="0" w:space="0"/>
        </w:rPr>
        <w:t> </w:t>
      </w:r>
    </w:p>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jNGQ2ZjQxNjg0MzQ0MTQyMjQ3ZmNmYjYxZTllMzAifQ=="/>
  </w:docVars>
  <w:rsids>
    <w:rsidRoot w:val="42D23F64"/>
    <w:rsid w:val="02AD5F71"/>
    <w:rsid w:val="0FFB49CE"/>
    <w:rsid w:val="287E229E"/>
    <w:rsid w:val="4068665E"/>
    <w:rsid w:val="42D23F64"/>
    <w:rsid w:val="52F53621"/>
    <w:rsid w:val="5AC30EC2"/>
    <w:rsid w:val="5BBC2369"/>
    <w:rsid w:val="5C6816F3"/>
    <w:rsid w:val="68F61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2093</Words>
  <Characters>2265</Characters>
  <Lines>0</Lines>
  <Paragraphs>0</Paragraphs>
  <TotalTime>48</TotalTime>
  <ScaleCrop>false</ScaleCrop>
  <LinksUpToDate>false</LinksUpToDate>
  <CharactersWithSpaces>2301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2023-01-18T10:54:00Z</dcterms:created>
  <dc:creator>Administrator</dc:creator>
  <cp:lastModifiedBy>Administrator</cp:lastModifiedBy>
  <dcterms:modified xsi:type="dcterms:W3CDTF">2023-01-18T11:45:09Z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B6315184C9E24FBE95387A1DAD3809EB</vt:lpwstr>
  </property>
</Properties>
</file>