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lang w:val="en-US" w:eastAsia="zh-CN"/>
          <w14:textFill>
            <w14:solidFill>
              <w14:schemeClr w14:val="tx1"/>
            </w14:solidFill>
          </w14:textFill>
        </w:rPr>
        <w:t>香田乡</w:t>
      </w: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t>202</w:t>
      </w: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lang w:val="en-US" w:eastAsia="zh-CN"/>
          <w14:textFill>
            <w14:solidFill>
              <w14:schemeClr w14:val="tx1"/>
            </w14:solidFill>
          </w14:textFill>
        </w:rPr>
        <w:t>3</w:t>
      </w: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t>年政府信息公开工作年度报告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p>
    <w:p>
      <w:pPr>
        <w:pStyle w:val="3"/>
        <w:keepNext w:val="0"/>
        <w:keepLines w:val="0"/>
        <w:widowControl/>
        <w:suppressLineNumbers w:val="0"/>
        <w:spacing w:before="0" w:beforeAutospacing="0" w:after="0" w:afterAutospacing="0" w:line="444" w:lineRule="atLeast"/>
        <w:ind w:left="0" w:right="0" w:firstLine="516"/>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2023年，</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香田乡人民政府在县委、县政府的正确领导下，在上级有关部门的指导下，认真落实政府信息公开要求，扎实推动政府信息公开工作，</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现</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依据《中华人民共和国政府信息公开条例》（国务院令第711号，以下简称新《条例》）和《国务院办公厅政府信息与政务公开办公室关于印发《中华人民共和国政府信息公开工作年度报告格式》的通知》（国办公开办函〔2021〕30号）要求，由</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香田乡</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结合有关统计数据编制。本年度报告中所列数据的统计期限自202</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3</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年1月1日起至202</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3</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年12月31日止。全文包括总体情况、主动公开政府信息情况、收到和处理政府信息公开申请情况、政府信息公开行政复议行政诉讼情况、存在的主要问题及改进情况、其他需要报告的事项。本年度报告的电子版可以在靖安县人民政府网站香田乡信息公开页面下载。如对本年度报告有任何疑问，请联系：香田乡人民政府办公室，联系电话：0795-4778101，地址：香田乡鸭婆潭街06号，邮编：3306</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99</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lang w:eastAsia="zh-CN"/>
          <w14:textFill>
            <w14:solidFill>
              <w14:schemeClr w14:val="tx1"/>
            </w14:solidFill>
          </w14:textFill>
        </w:rPr>
        <w:t>一、</w:t>
      </w:r>
      <w:r>
        <w:rPr>
          <w:rFonts w:hint="eastAsia" w:ascii="黑体" w:hAnsi="黑体" w:eastAsia="黑体" w:cs="黑体"/>
          <w:i w:val="0"/>
          <w:iCs w:val="0"/>
          <w:caps w:val="0"/>
          <w:color w:val="000000" w:themeColor="text1"/>
          <w:spacing w:val="0"/>
          <w:sz w:val="32"/>
          <w:szCs w:val="32"/>
          <w14:textFill>
            <w14:solidFill>
              <w14:schemeClr w14:val="tx1"/>
            </w14:solidFill>
          </w14:textFill>
        </w:rPr>
        <w:t>总体情况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（一）主动公开</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香田乡</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高度重视政务公开工作，强化信息报送，</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截止202</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3</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年12月31日，</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香田乡</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共公开各类信息</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75</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条</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，其中工作动态</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49条，</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及时公开了20</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22</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年</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部门决算</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和202</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3</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年</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部门预算</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等。</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bookmarkStart w:id="0" w:name="_GoBack"/>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（二）依申请公开情况</w:t>
      </w:r>
    </w:p>
    <w:bookmarkEnd w:id="0"/>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202</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3</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年</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香田乡</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未收到</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依申请公开</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事项</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（三）政府信息管理情况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香田乡严格做好信息发布“三审三校”工作，持续加强公开信息审查、建立工作台账、做好公开材料归档等。</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（四）平台建设</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靖安县政府网站是香田乡线上主要信息公开平台（http://www.jxjaxzf.gov.cn/），坚持做好日常维护管理；在便民服务大厅设立线下政务公开专区，不断完善设备、人员配置等，线上线下同时推进政府信息公开工作。</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（五）监督保障情况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香田乡</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建立健全政府信息公开工作考核制度、社会评议制度和责任追究制度，按时公布政府信息公开工作年度报告</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设立信息公开监督电话（0795-</w:t>
      </w:r>
      <w:r>
        <w:rPr>
          <w:rFonts w:hint="eastAsia" w:ascii="仿宋_GB2312" w:hAnsi="仿宋_GB2312" w:eastAsia="仿宋_GB2312" w:cs="仿宋_GB2312"/>
          <w:i w:val="0"/>
          <w:iCs w:val="0"/>
          <w:caps w:val="0"/>
          <w:color w:val="000000" w:themeColor="text1"/>
          <w:spacing w:val="0"/>
          <w:sz w:val="32"/>
          <w:szCs w:val="32"/>
          <w:highlight w:val="none"/>
          <w14:textFill>
            <w14:solidFill>
              <w14:schemeClr w14:val="tx1"/>
            </w14:solidFill>
          </w14:textFill>
        </w:rPr>
        <w:t>4</w:t>
      </w:r>
      <w:r>
        <w:rPr>
          <w:rFonts w:hint="eastAsia" w:ascii="仿宋_GB2312" w:hAnsi="仿宋_GB2312" w:eastAsia="仿宋_GB2312" w:cs="仿宋_GB2312"/>
          <w:i w:val="0"/>
          <w:iCs w:val="0"/>
          <w:caps w:val="0"/>
          <w:color w:val="000000" w:themeColor="text1"/>
          <w:spacing w:val="0"/>
          <w:sz w:val="32"/>
          <w:szCs w:val="32"/>
          <w:highlight w:val="none"/>
          <w:lang w:val="en-US" w:eastAsia="zh-CN"/>
          <w14:textFill>
            <w14:solidFill>
              <w14:schemeClr w14:val="tx1"/>
            </w14:solidFill>
          </w14:textFill>
        </w:rPr>
        <w:t>778101</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接受群众监督，及时回应社会关切问题</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黑体" w:hAnsi="黑体" w:eastAsia="黑体" w:cs="黑体"/>
          <w:i w:val="0"/>
          <w:iCs w:val="0"/>
          <w:caps w:val="0"/>
          <w:color w:val="000000" w:themeColor="text1"/>
          <w:spacing w:val="0"/>
          <w:sz w:val="32"/>
          <w:szCs w:val="32"/>
          <w14:textFill>
            <w14:solidFill>
              <w14:schemeClr w14:val="tx1"/>
            </w14:solidFill>
          </w14:textFill>
        </w:rPr>
        <w:t>二、主动公开政府信息情况</w:t>
      </w: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本年制发件数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color w:val="000000" w:themeColor="text1"/>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color w:val="000000" w:themeColor="text1"/>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color w:val="000000" w:themeColor="text1"/>
                <w:lang w:val="en-US"/>
                <w14:textFill>
                  <w14:solidFill>
                    <w14:schemeClr w14:val="tx1"/>
                  </w14:solidFill>
                </w14:textFill>
              </w:rPr>
            </w:pPr>
            <w:r>
              <w:rPr>
                <w:rFonts w:hint="eastAsia" w:ascii="Calibri" w:hAnsi="Calibri" w:cs="Calibri"/>
                <w:color w:val="000000" w:themeColor="text1"/>
                <w:kern w:val="0"/>
                <w:sz w:val="21"/>
                <w:szCs w:val="21"/>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color w:val="000000" w:themeColor="text1"/>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color w:val="000000" w:themeColor="text1"/>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color w:val="000000" w:themeColor="text1"/>
                <w:lang w:val="en-US"/>
                <w14:textFill>
                  <w14:solidFill>
                    <w14:schemeClr w14:val="tx1"/>
                  </w14:solidFill>
                </w14:textFill>
              </w:rPr>
            </w:pPr>
            <w:r>
              <w:rPr>
                <w:rFonts w:hint="eastAsia" w:ascii="Calibri" w:hAnsi="Calibri" w:cs="Calibri"/>
                <w:color w:val="000000" w:themeColor="text1"/>
                <w:kern w:val="0"/>
                <w:sz w:val="21"/>
                <w:szCs w:val="21"/>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color w:val="000000" w:themeColor="text1"/>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color w:val="000000" w:themeColor="text1"/>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color w:val="000000" w:themeColor="text1"/>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eastAsia="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i w:val="0"/>
          <w:iCs w:val="0"/>
          <w:caps w:val="0"/>
          <w:color w:val="000000" w:themeColor="text1"/>
          <w:spacing w:val="0"/>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14:textFill>
            <w14:solidFill>
              <w14:schemeClr w14:val="tx1"/>
            </w14:solidFill>
          </w14:textFill>
        </w:rPr>
        <w:t>三、收到和处理政府信息公开申请情况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i w:val="0"/>
          <w:iCs w:val="0"/>
          <w:caps w:val="0"/>
          <w:color w:val="000000" w:themeColor="text1"/>
          <w:spacing w:val="0"/>
          <w:sz w:val="24"/>
          <w:szCs w:val="24"/>
          <w14:textFill>
            <w14:solidFill>
              <w14:schemeClr w14:val="tx1"/>
            </w14:solidFill>
          </w14:textFill>
        </w:rP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color w:val="000000" w:themeColor="text1"/>
                <w14:textFill>
                  <w14:solidFill>
                    <w14:schemeClr w14:val="tx1"/>
                  </w14:solidFill>
                </w14:textFill>
              </w:rPr>
            </w:pPr>
            <w:r>
              <w:rPr>
                <w:rFonts w:ascii="楷体" w:hAnsi="楷体" w:eastAsia="楷体" w:cs="楷体"/>
                <w:color w:val="000000" w:themeColor="text1"/>
                <w:kern w:val="0"/>
                <w:sz w:val="20"/>
                <w:szCs w:val="20"/>
                <w:lang w:val="en-US" w:eastAsia="zh-CN" w:bidi="ar"/>
                <w14:textFill>
                  <w14:solidFill>
                    <w14:schemeClr w14:val="tx1"/>
                  </w14:solidFill>
                </w14:textFill>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color w:val="000000" w:themeColor="text1"/>
                <w:sz w:val="24"/>
                <w:szCs w:val="24"/>
                <w14:textFill>
                  <w14:solidFill>
                    <w14:schemeClr w14:val="tx1"/>
                  </w14:solidFill>
                </w14:textFill>
              </w:rPr>
            </w:pPr>
          </w:p>
        </w:tc>
        <w:tc>
          <w:tcPr>
            <w:tcW w:w="714"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color w:val="000000" w:themeColor="text1"/>
                <w:sz w:val="24"/>
                <w:szCs w:val="24"/>
                <w14:textFill>
                  <w14:solidFill>
                    <w14:schemeClr w14:val="tx1"/>
                  </w14:solidFill>
                </w14:textFill>
              </w:rPr>
            </w:pPr>
          </w:p>
        </w:tc>
        <w:tc>
          <w:tcPr>
            <w:tcW w:w="714"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color w:val="000000" w:themeColor="text1"/>
                <w:sz w:val="24"/>
                <w:szCs w:val="24"/>
                <w14:textFill>
                  <w14:solidFill>
                    <w14:schemeClr w14:val="tx1"/>
                  </w14:solidFill>
                </w14:textFill>
              </w:rPr>
            </w:pP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企业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社会公益组织</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法律服务机构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color w:val="000000" w:themeColor="text1"/>
                <w:sz w:val="24"/>
                <w:szCs w:val="24"/>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一、本年新收政府信息公开申请数量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color w:val="000000" w:themeColor="text1"/>
                <w:lang w:val="en-US"/>
                <w14:textFill>
                  <w14:solidFill>
                    <w14:schemeClr w14:val="tx1"/>
                  </w14:solidFill>
                </w14:textFill>
              </w:rPr>
            </w:pPr>
            <w:r>
              <w:rPr>
                <w:rFonts w:hint="default" w:ascii="Calibri" w:hAnsi="Calibri" w:cs="Calibri" w:eastAsiaTheme="minorEastAsia"/>
                <w:color w:val="000000" w:themeColor="text1"/>
                <w:kern w:val="0"/>
                <w:sz w:val="20"/>
                <w:szCs w:val="20"/>
                <w:lang w:val="en-US" w:eastAsia="zh-CN" w:bidi="ar"/>
                <w14:textFill>
                  <w14:solidFill>
                    <w14:schemeClr w14:val="tx1"/>
                  </w14:solidFill>
                </w14:textFill>
              </w:rPr>
              <w:t> </w:t>
            </w: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default" w:ascii="Calibri" w:hAnsi="Calibri" w:cs="Calibri" w:eastAsiaTheme="minorEastAsia"/>
                <w:color w:val="000000" w:themeColor="text1"/>
                <w:kern w:val="0"/>
                <w:sz w:val="20"/>
                <w:szCs w:val="20"/>
                <w:lang w:val="en-US" w:eastAsia="zh-CN" w:bidi="ar"/>
                <w14:textFill>
                  <w14:solidFill>
                    <w14:schemeClr w14:val="tx1"/>
                  </w14:solidFill>
                </w14:textFill>
              </w:rPr>
              <w:t> </w:t>
            </w: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default" w:ascii="Calibri" w:hAnsi="Calibri" w:cs="Calibri" w:eastAsiaTheme="minorEastAsia"/>
                <w:color w:val="000000" w:themeColor="text1"/>
                <w:kern w:val="0"/>
                <w:sz w:val="20"/>
                <w:szCs w:val="20"/>
                <w:lang w:val="en-US" w:eastAsia="zh-CN" w:bidi="ar"/>
                <w14:textFill>
                  <w14:solidFill>
                    <w14:schemeClr w14:val="tx1"/>
                  </w14:solidFill>
                </w14:textFill>
              </w:rPr>
              <w:t> </w:t>
            </w: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default" w:ascii="Calibri" w:hAnsi="Calibri" w:cs="Calibri" w:eastAsiaTheme="minorEastAsia"/>
                <w:color w:val="000000" w:themeColor="text1"/>
                <w:kern w:val="0"/>
                <w:sz w:val="20"/>
                <w:szCs w:val="20"/>
                <w:lang w:val="en-US" w:eastAsia="zh-CN" w:bidi="ar"/>
                <w14:textFill>
                  <w14:solidFill>
                    <w14:schemeClr w14:val="tx1"/>
                  </w14:solidFill>
                </w14:textFill>
              </w:rPr>
              <w:t> </w:t>
            </w: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default" w:ascii="Calibri" w:hAnsi="Calibri" w:cs="Calibri" w:eastAsiaTheme="minorEastAsia"/>
                <w:color w:val="000000" w:themeColor="text1"/>
                <w:kern w:val="0"/>
                <w:sz w:val="20"/>
                <w:szCs w:val="20"/>
                <w:lang w:val="en-US" w:eastAsia="zh-CN" w:bidi="ar"/>
                <w14:textFill>
                  <w14:solidFill>
                    <w14:schemeClr w14:val="tx1"/>
                  </w14:solidFill>
                </w14:textFill>
              </w:rPr>
              <w:t> </w:t>
            </w: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default" w:ascii="Calibri" w:hAnsi="Calibri" w:cs="Calibri" w:eastAsiaTheme="minorEastAsia"/>
                <w:color w:val="000000" w:themeColor="text1"/>
                <w:kern w:val="0"/>
                <w:sz w:val="20"/>
                <w:szCs w:val="20"/>
                <w:lang w:val="en-US" w:eastAsia="zh-CN" w:bidi="ar"/>
                <w14:textFill>
                  <w14:solidFill>
                    <w14:schemeClr w14:val="tx1"/>
                  </w14:solidFill>
                </w14:textFill>
              </w:rPr>
              <w:t> </w:t>
            </w: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二、上年结转政府信息公开申请数量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三、本年度办理结果</w:t>
            </w: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（一）予以公开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color w:val="000000" w:themeColor="text1"/>
                <w:sz w:val="24"/>
                <w:szCs w:val="24"/>
                <w14:textFill>
                  <w14:solidFill>
                    <w14:schemeClr w14:val="tx1"/>
                  </w14:solidFill>
                </w14:textFill>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（二）部分公开</w:t>
            </w:r>
            <w:r>
              <w:rPr>
                <w:rFonts w:hint="eastAsia" w:ascii="楷体" w:hAnsi="楷体" w:eastAsia="楷体" w:cs="楷体"/>
                <w:color w:val="000000" w:themeColor="text1"/>
                <w:kern w:val="0"/>
                <w:sz w:val="20"/>
                <w:szCs w:val="20"/>
                <w:lang w:val="en-US" w:eastAsia="zh-CN" w:bidi="ar"/>
                <w14:textFill>
                  <w14:solidFill>
                    <w14:schemeClr w14:val="tx1"/>
                  </w14:solidFill>
                </w14:textFill>
              </w:rPr>
              <w:t>（区分处理的，只计这一情形，不计其他情形）</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color w:val="000000" w:themeColor="text1"/>
                <w:sz w:val="24"/>
                <w:szCs w:val="24"/>
                <w14:textFill>
                  <w14:solidFill>
                    <w14:schemeClr w14:val="tx1"/>
                  </w14:solidFill>
                </w14:textFill>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（三）不予公开</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1.属于国家秘密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color w:val="000000" w:themeColor="text1"/>
                <w:sz w:val="24"/>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color w:val="000000" w:themeColor="text1"/>
                <w:sz w:val="24"/>
                <w:szCs w:val="24"/>
                <w14:textFill>
                  <w14:solidFill>
                    <w14:schemeClr w14:val="tx1"/>
                  </w14:solidFill>
                </w14:textFill>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2.其他法律行政法规禁止公开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color w:val="000000" w:themeColor="text1"/>
                <w:sz w:val="24"/>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color w:val="000000" w:themeColor="text1"/>
                <w:sz w:val="24"/>
                <w:szCs w:val="24"/>
                <w14:textFill>
                  <w14:solidFill>
                    <w14:schemeClr w14:val="tx1"/>
                  </w14:solidFill>
                </w14:textFill>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3.危及“三安全一稳定”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color w:val="000000" w:themeColor="text1"/>
                <w:sz w:val="24"/>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color w:val="000000" w:themeColor="text1"/>
                <w:sz w:val="24"/>
                <w:szCs w:val="24"/>
                <w14:textFill>
                  <w14:solidFill>
                    <w14:schemeClr w14:val="tx1"/>
                  </w14:solidFill>
                </w14:textFill>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4.保护第三方合法权益</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color w:val="000000" w:themeColor="text1"/>
                <w:sz w:val="24"/>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color w:val="000000" w:themeColor="text1"/>
                <w:sz w:val="24"/>
                <w:szCs w:val="24"/>
                <w14:textFill>
                  <w14:solidFill>
                    <w14:schemeClr w14:val="tx1"/>
                  </w14:solidFill>
                </w14:textFill>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5.属于三类内部事务信息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color w:val="000000" w:themeColor="text1"/>
                <w:sz w:val="24"/>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color w:val="000000" w:themeColor="text1"/>
                <w:sz w:val="24"/>
                <w:szCs w:val="24"/>
                <w14:textFill>
                  <w14:solidFill>
                    <w14:schemeClr w14:val="tx1"/>
                  </w14:solidFill>
                </w14:textFill>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6.属于四类过程性信息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color w:val="000000" w:themeColor="text1"/>
                <w:sz w:val="24"/>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color w:val="000000" w:themeColor="text1"/>
                <w:sz w:val="24"/>
                <w:szCs w:val="24"/>
                <w14:textFill>
                  <w14:solidFill>
                    <w14:schemeClr w14:val="tx1"/>
                  </w14:solidFill>
                </w14:textFill>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7.属于行政执法案卷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color w:val="000000" w:themeColor="text1"/>
                <w:sz w:val="24"/>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color w:val="000000" w:themeColor="text1"/>
                <w:sz w:val="24"/>
                <w:szCs w:val="24"/>
                <w14:textFill>
                  <w14:solidFill>
                    <w14:schemeClr w14:val="tx1"/>
                  </w14:solidFill>
                </w14:textFill>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8.属于行政查询事项</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color w:val="000000" w:themeColor="text1"/>
                <w:sz w:val="24"/>
                <w:szCs w:val="24"/>
                <w14:textFill>
                  <w14:solidFill>
                    <w14:schemeClr w14:val="tx1"/>
                  </w14:solidFill>
                </w14:textFill>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（四）无法提供</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1.本机关不掌握相关政府信息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color w:val="000000" w:themeColor="text1"/>
                <w:sz w:val="24"/>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color w:val="000000" w:themeColor="text1"/>
                <w:sz w:val="24"/>
                <w:szCs w:val="24"/>
                <w14:textFill>
                  <w14:solidFill>
                    <w14:schemeClr w14:val="tx1"/>
                  </w14:solidFill>
                </w14:textFill>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2.没有现成信息需要另行制作</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color w:val="000000" w:themeColor="text1"/>
                <w:sz w:val="24"/>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color w:val="000000" w:themeColor="text1"/>
                <w:sz w:val="24"/>
                <w:szCs w:val="24"/>
                <w14:textFill>
                  <w14:solidFill>
                    <w14:schemeClr w14:val="tx1"/>
                  </w14:solidFill>
                </w14:textFill>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3.补正后申请内容仍不明确</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color w:val="000000" w:themeColor="text1"/>
                <w:sz w:val="24"/>
                <w:szCs w:val="24"/>
                <w14:textFill>
                  <w14:solidFill>
                    <w14:schemeClr w14:val="tx1"/>
                  </w14:solidFill>
                </w14:textFill>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（五）不予处理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1.信访举报投诉类申请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color w:val="000000" w:themeColor="text1"/>
                <w:sz w:val="24"/>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color w:val="000000" w:themeColor="text1"/>
                <w:sz w:val="24"/>
                <w:szCs w:val="24"/>
                <w14:textFill>
                  <w14:solidFill>
                    <w14:schemeClr w14:val="tx1"/>
                  </w14:solidFill>
                </w14:textFill>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2.重复申请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color w:val="000000" w:themeColor="text1"/>
                <w:sz w:val="24"/>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color w:val="000000" w:themeColor="text1"/>
                <w:sz w:val="24"/>
                <w:szCs w:val="24"/>
                <w14:textFill>
                  <w14:solidFill>
                    <w14:schemeClr w14:val="tx1"/>
                  </w14:solidFill>
                </w14:textFill>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3.要求提供公开出版物</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color w:val="000000" w:themeColor="text1"/>
                <w:sz w:val="24"/>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color w:val="000000" w:themeColor="text1"/>
                <w:sz w:val="24"/>
                <w:szCs w:val="24"/>
                <w14:textFill>
                  <w14:solidFill>
                    <w14:schemeClr w14:val="tx1"/>
                  </w14:solidFill>
                </w14:textFill>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4.无正当理由大量反复申请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color w:val="000000" w:themeColor="text1"/>
                <w:sz w:val="24"/>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color w:val="000000" w:themeColor="text1"/>
                <w:sz w:val="24"/>
                <w:szCs w:val="24"/>
                <w14:textFill>
                  <w14:solidFill>
                    <w14:schemeClr w14:val="tx1"/>
                  </w14:solidFill>
                </w14:textFill>
              </w:rPr>
            </w:pPr>
          </w:p>
        </w:tc>
        <w:tc>
          <w:tcPr>
            <w:tcW w:w="340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color w:val="000000" w:themeColor="text1"/>
                <w:sz w:val="24"/>
                <w:szCs w:val="24"/>
                <w14:textFill>
                  <w14:solidFill>
                    <w14:schemeClr w14:val="tx1"/>
                  </w14:solidFill>
                </w14:textFill>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（六）其他处理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Theme="minorHAnsi" w:hAnsiTheme="minorHAnsi" w:eastAsiaTheme="minorEastAsia" w:cstheme="minorBidi"/>
                <w:color w:val="000000" w:themeColor="text1"/>
                <w:kern w:val="2"/>
                <w:sz w:val="21"/>
                <w:szCs w:val="24"/>
                <w:lang w:val="en-US" w:eastAsia="zh-CN" w:bidi="ar-SA"/>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color w:val="000000" w:themeColor="text1"/>
                <w:sz w:val="24"/>
                <w:szCs w:val="24"/>
                <w14:textFill>
                  <w14:solidFill>
                    <w14:schemeClr w14:val="tx1"/>
                  </w14:solidFill>
                </w14:textFill>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color w:val="000000" w:themeColor="text1"/>
                <w:sz w:val="24"/>
                <w:szCs w:val="24"/>
                <w14:textFill>
                  <w14:solidFill>
                    <w14:schemeClr w14:val="tx1"/>
                  </w14:solidFill>
                </w14:textFill>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color w:val="000000" w:themeColor="text1"/>
                <w:sz w:val="24"/>
                <w:szCs w:val="24"/>
                <w14:textFill>
                  <w14:solidFill>
                    <w14:schemeClr w14:val="tx1"/>
                  </w14:solidFill>
                </w14:textFill>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color w:val="000000" w:themeColor="text1"/>
                <w:sz w:val="24"/>
                <w:szCs w:val="24"/>
                <w14:textFill>
                  <w14:solidFill>
                    <w14:schemeClr w14:val="tx1"/>
                  </w14:solidFill>
                </w14:textFill>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3.其他</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color w:val="000000" w:themeColor="text1"/>
                <w:sz w:val="24"/>
                <w:szCs w:val="24"/>
                <w14:textFill>
                  <w14:solidFill>
                    <w14:schemeClr w14:val="tx1"/>
                  </w14:solidFill>
                </w14:textFill>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（七）总计</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四、结转下年度继续办理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default" w:ascii="Calibri" w:hAnsi="Calibri" w:cs="Calibri" w:eastAsiaTheme="minorEastAsia"/>
                <w:color w:val="000000" w:themeColor="text1"/>
                <w:kern w:val="0"/>
                <w:sz w:val="20"/>
                <w:szCs w:val="20"/>
                <w:lang w:val="en-US" w:eastAsia="zh-CN" w:bidi="ar"/>
                <w14:textFill>
                  <w14:solidFill>
                    <w14:schemeClr w14:val="tx1"/>
                  </w14:solidFill>
                </w14:textFill>
              </w:rPr>
              <w:t> </w:t>
            </w: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color w:val="000000" w:themeColor="text1"/>
                <w:sz w:val="24"/>
                <w:szCs w:val="24"/>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黑体" w:hAnsi="黑体" w:eastAsia="黑体" w:cs="黑体"/>
          <w:i w:val="0"/>
          <w:iCs w:val="0"/>
          <w:caps w:val="0"/>
          <w:color w:val="000000" w:themeColor="text1"/>
          <w:spacing w:val="0"/>
          <w:sz w:val="32"/>
          <w:szCs w:val="32"/>
          <w14:textFill>
            <w14:solidFill>
              <w14:schemeClr w14:val="tx1"/>
            </w14:solidFill>
          </w14:textFill>
        </w:rPr>
        <w:t>四、政府信息公开行政复议、行政诉讼情况</w:t>
      </w:r>
    </w:p>
    <w:tbl>
      <w:tblPr>
        <w:tblStyle w:val="4"/>
        <w:tblW w:w="974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行政复议</w:t>
            </w:r>
          </w:p>
        </w:tc>
        <w:tc>
          <w:tcPr>
            <w:tcW w:w="649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其他</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尚未</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color w:val="000000" w:themeColor="text1"/>
                <w:sz w:val="24"/>
                <w:szCs w:val="24"/>
                <w14:textFill>
                  <w14:solidFill>
                    <w14:schemeClr w14:val="tx1"/>
                  </w14:solidFill>
                </w14:textFill>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color w:val="000000" w:themeColor="text1"/>
                <w:sz w:val="24"/>
                <w:szCs w:val="24"/>
                <w14:textFill>
                  <w14:solidFill>
                    <w14:schemeClr w14:val="tx1"/>
                  </w14:solidFill>
                </w14:textFill>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color w:val="000000" w:themeColor="text1"/>
                <w:sz w:val="24"/>
                <w:szCs w:val="24"/>
                <w14:textFill>
                  <w14:solidFill>
                    <w14:schemeClr w14:val="tx1"/>
                  </w14:solidFill>
                </w14:textFill>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color w:val="000000" w:themeColor="text1"/>
                <w:sz w:val="24"/>
                <w:szCs w:val="24"/>
                <w14:textFill>
                  <w14:solidFill>
                    <w14:schemeClr w14:val="tx1"/>
                  </w14:solidFill>
                </w14:textFill>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color w:val="000000" w:themeColor="text1"/>
                <w:sz w:val="24"/>
                <w:szCs w:val="24"/>
                <w14:textFill>
                  <w14:solidFill>
                    <w14:schemeClr w14:val="tx1"/>
                  </w14:solidFill>
                </w14:textFill>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其他</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尚未</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总计</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维持</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其他</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尚未</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asciiTheme="minorHAnsi" w:hAnsiTheme="minorHAnsi" w:eastAsiaTheme="minorEastAsia" w:cstheme="minorBidi"/>
                <w:color w:val="000000" w:themeColor="text1"/>
                <w:kern w:val="2"/>
                <w:sz w:val="21"/>
                <w:szCs w:val="24"/>
                <w:lang w:val="en-US" w:eastAsia="zh-CN" w:bidi="ar-SA"/>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000000" w:themeColor="text1"/>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color w:val="000000" w:themeColor="text1"/>
                <w:sz w:val="24"/>
                <w:szCs w:val="24"/>
                <w14:textFill>
                  <w14:solidFill>
                    <w14:schemeClr w14:val="tx1"/>
                  </w14:solidFill>
                </w14:textFill>
              </w:rPr>
            </w:pPr>
            <w:r>
              <w:rPr>
                <w:rFonts w:hint="eastAsia" w:ascii="Calibri" w:hAnsi="Calibri" w:cs="Calibri"/>
                <w:color w:val="000000" w:themeColor="text1"/>
                <w:kern w:val="0"/>
                <w:sz w:val="20"/>
                <w:szCs w:val="20"/>
                <w:lang w:val="en-US" w:eastAsia="zh-CN" w:bidi="ar"/>
                <w14:textFill>
                  <w14:solidFill>
                    <w14:schemeClr w14:val="tx1"/>
                  </w14:solidFill>
                </w14:textFill>
              </w:rPr>
              <w:t>0</w:t>
            </w:r>
          </w:p>
        </w:tc>
      </w:tr>
    </w:tbl>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10" w:leftChars="0" w:right="0" w:firstLine="640" w:firstLineChars="0"/>
        <w:jc w:val="both"/>
        <w:textAlignment w:val="auto"/>
        <w:rPr>
          <w:rFonts w:hint="eastAsia" w:ascii="黑体" w:hAnsi="黑体" w:eastAsia="黑体" w:cs="黑体"/>
          <w:i w:val="0"/>
          <w:iCs w:val="0"/>
          <w:caps w:val="0"/>
          <w:color w:val="000000" w:themeColor="text1"/>
          <w:spacing w:val="0"/>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14:textFill>
            <w14:solidFill>
              <w14:schemeClr w14:val="tx1"/>
            </w14:solidFill>
          </w14:textFill>
        </w:rPr>
        <w:t>存在的主要问题及改进情况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i w:val="0"/>
          <w:iCs w:val="0"/>
          <w:caps w:val="0"/>
          <w:color w:val="000000" w:themeColor="text1"/>
          <w:spacing w:val="0"/>
          <w:sz w:val="32"/>
          <w:szCs w:val="32"/>
          <w:lang w:val="en-US" w:eastAsia="zh-CN"/>
          <w14:textFill>
            <w14:solidFill>
              <w14:schemeClr w14:val="tx1"/>
            </w14:solidFill>
          </w14:textFill>
        </w:rPr>
      </w:pPr>
      <w:r>
        <w:rPr>
          <w:rFonts w:hint="eastAsia" w:ascii="楷体_GB2312" w:hAnsi="楷体_GB2312" w:eastAsia="楷体_GB2312" w:cs="楷体_GB2312"/>
          <w:i w:val="0"/>
          <w:iCs w:val="0"/>
          <w:caps w:val="0"/>
          <w:color w:val="000000" w:themeColor="text1"/>
          <w:spacing w:val="0"/>
          <w:sz w:val="32"/>
          <w:szCs w:val="32"/>
          <w:lang w:val="en-US" w:eastAsia="zh-CN"/>
          <w14:textFill>
            <w14:solidFill>
              <w14:schemeClr w14:val="tx1"/>
            </w14:solidFill>
          </w14:textFill>
        </w:rPr>
        <w:t>（一）存在的主要问题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2023年本乡政府信息公开工作取得了一些成绩和进步，但还存在一些不足和薄弱环节：一是认识不够到位，工作上缺乏主动性和积极性，对实行政务公开的重要意义认识不足，工作被动应付；二是有的公开内容不规范，公开的内容重点不突出，对群众关心的热点问题等应该公开的未能做到全部公开，使群众难以了解全貌，有的公开内容长期不更新或缺乏动态内容，失去了公开的意义。</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i w:val="0"/>
          <w:iCs w:val="0"/>
          <w:caps w:val="0"/>
          <w:color w:val="000000" w:themeColor="text1"/>
          <w:spacing w:val="0"/>
          <w:sz w:val="32"/>
          <w:szCs w:val="32"/>
          <w:lang w:val="en-US" w:eastAsia="zh-CN"/>
          <w14:textFill>
            <w14:solidFill>
              <w14:schemeClr w14:val="tx1"/>
            </w14:solidFill>
          </w14:textFill>
        </w:rPr>
      </w:pPr>
      <w:r>
        <w:rPr>
          <w:rFonts w:hint="eastAsia" w:ascii="楷体_GB2312" w:hAnsi="楷体_GB2312" w:eastAsia="楷体_GB2312" w:cs="楷体_GB2312"/>
          <w:i w:val="0"/>
          <w:iCs w:val="0"/>
          <w:caps w:val="0"/>
          <w:color w:val="000000" w:themeColor="text1"/>
          <w:spacing w:val="0"/>
          <w:sz w:val="32"/>
          <w:szCs w:val="32"/>
          <w:lang w:val="en-US" w:eastAsia="zh-CN"/>
          <w14:textFill>
            <w14:solidFill>
              <w14:schemeClr w14:val="tx1"/>
            </w14:solidFill>
          </w14:textFill>
        </w:rPr>
        <w:t>（二）改进情况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努力提高行政透明度和行政效率，畅通与群众沟通的渠道，更好地保障人民群众知情权、参与权和监督权：一是提高对政务公开工作的认识，切实提高政务公开工作的认识，把它作为加强廉政建设的一项重要措施；二是加强对政务公开工作的领导和监督，确保把政务公开工作落到实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ascii="Calibri" w:hAnsi="Calibri" w:cs="Calibri"/>
          <w:sz w:val="24"/>
          <w:szCs w:val="24"/>
        </w:rPr>
      </w:pPr>
      <w:r>
        <w:rPr>
          <w:rFonts w:ascii="黑体" w:hAnsi="宋体" w:eastAsia="黑体" w:cs="黑体"/>
          <w:i w:val="0"/>
          <w:iCs w:val="0"/>
          <w:caps w:val="0"/>
          <w:color w:val="000000"/>
          <w:spacing w:val="0"/>
          <w:sz w:val="32"/>
          <w:szCs w:val="32"/>
          <w:shd w:val="clear" w:fill="FFFFFF"/>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pPr>
      <w:r>
        <w:rPr>
          <w:rFonts w:ascii="仿宋" w:hAnsi="仿宋" w:eastAsia="仿宋" w:cs="仿宋"/>
          <w:i w:val="0"/>
          <w:iCs w:val="0"/>
          <w:caps w:val="0"/>
          <w:color w:val="000000"/>
          <w:spacing w:val="0"/>
          <w:sz w:val="32"/>
          <w:szCs w:val="32"/>
          <w:shd w:val="clear" w:fill="FFFFFF"/>
        </w:rPr>
        <w:t>我乡今年未发生收取信息处理费的情况。</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rPr>
        <w:t>    本年度无其他需要报告的事项。</w:t>
      </w:r>
    </w:p>
    <w:sectPr>
      <w:footerReference r:id="rId3" w:type="default"/>
      <w:pgSz w:w="11906" w:h="16838"/>
      <w:pgMar w:top="2098" w:right="1587"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38726E"/>
    <w:multiLevelType w:val="singleLevel"/>
    <w:tmpl w:val="0C38726E"/>
    <w:lvl w:ilvl="0" w:tentative="0">
      <w:start w:val="5"/>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xMGVhN2JjNTdmZTEwNjA4MGZlYzNkY2UwMWEwMjkifQ=="/>
  </w:docVars>
  <w:rsids>
    <w:rsidRoot w:val="73A6199E"/>
    <w:rsid w:val="05D27519"/>
    <w:rsid w:val="06A2647F"/>
    <w:rsid w:val="07702E6D"/>
    <w:rsid w:val="0AB079C6"/>
    <w:rsid w:val="11D16BFE"/>
    <w:rsid w:val="169E79F7"/>
    <w:rsid w:val="23A50CA6"/>
    <w:rsid w:val="2A44360E"/>
    <w:rsid w:val="3BA73FD5"/>
    <w:rsid w:val="3FCB7A5D"/>
    <w:rsid w:val="44370536"/>
    <w:rsid w:val="458D20B4"/>
    <w:rsid w:val="498C5628"/>
    <w:rsid w:val="4C114146"/>
    <w:rsid w:val="50377F99"/>
    <w:rsid w:val="536F3CA3"/>
    <w:rsid w:val="69BD246B"/>
    <w:rsid w:val="70C16C54"/>
    <w:rsid w:val="70C93B33"/>
    <w:rsid w:val="72624BCA"/>
    <w:rsid w:val="73A6199E"/>
    <w:rsid w:val="74CC21AE"/>
    <w:rsid w:val="7CF05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iPriority w:val="0"/>
    <w:rPr>
      <w:color w:val="333333"/>
      <w:u w:val="none"/>
    </w:rPr>
  </w:style>
  <w:style w:type="character" w:styleId="7">
    <w:name w:val="Hyperlink"/>
    <w:basedOn w:val="5"/>
    <w:uiPriority w:val="0"/>
    <w:rPr>
      <w:color w:val="333333"/>
      <w:u w:val="none"/>
    </w:rPr>
  </w:style>
  <w:style w:type="character" w:customStyle="1" w:styleId="8">
    <w:name w:val="hover13"/>
    <w:basedOn w:val="5"/>
    <w:uiPriority w:val="0"/>
    <w:rPr>
      <w:shd w:val="clear" w:fill="929292"/>
    </w:rPr>
  </w:style>
  <w:style w:type="character" w:customStyle="1" w:styleId="9">
    <w:name w:val="article-icon"/>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2131</Words>
  <Characters>2240</Characters>
  <Lines>0</Lines>
  <Paragraphs>0</Paragraphs>
  <TotalTime>43</TotalTime>
  <ScaleCrop>false</ScaleCrop>
  <LinksUpToDate>false</LinksUpToDate>
  <CharactersWithSpaces>2248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2022-12-05T07:21:00Z</dcterms:created>
  <dc:creator>000</dc:creator>
  <cp:lastModifiedBy>谁也会走</cp:lastModifiedBy>
  <dcterms:modified xsi:type="dcterms:W3CDTF">2024-01-18T09:16:43Z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C9DF492AC0694B6DAB197DCA540D9BDE_13</vt:lpwstr>
  </property>
</Properties>
</file>