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560" w:lineRule="exact"/>
        <w:ind w:left="0" w:right="0"/>
        <w:jc w:val="center"/>
      </w:pPr>
      <w:r>
        <w:rPr>
          <w:rFonts w:ascii="方正小标宋简体" w:hAnsi="方正小标宋简体" w:eastAsia="方正小标宋简体" w:cs="方正小标宋简体"/>
          <w:kern w:val="2"/>
          <w:sz w:val="44"/>
          <w:szCs w:val="44"/>
          <w:lang w:val="en-US" w:eastAsia="zh-CN" w:bidi="ar"/>
        </w:rPr>
        <w:t>中源乡</w:t>
      </w:r>
      <w:r>
        <w:rPr>
          <w:rFonts w:hint="eastAsia" w:ascii="方正小标宋简体" w:hAnsi="方正小标宋简体" w:eastAsia="方正小标宋简体" w:cs="方正小标宋简体"/>
          <w:kern w:val="2"/>
          <w:sz w:val="44"/>
          <w:szCs w:val="44"/>
          <w:lang w:val="en-US" w:eastAsia="zh-CN" w:bidi="ar"/>
        </w:rPr>
        <w:t>2021年政府信息公开工作年度报告</w:t>
      </w:r>
    </w:p>
    <w:p>
      <w:pPr>
        <w:keepNext w:val="0"/>
        <w:keepLines w:val="0"/>
        <w:widowControl/>
        <w:suppressLineNumbers w:val="0"/>
        <w:spacing w:before="0" w:beforeAutospacing="1" w:after="0" w:afterAutospacing="1" w:line="560" w:lineRule="exact"/>
        <w:ind w:left="0" w:right="0" w:firstLine="640" w:firstLineChars="200"/>
        <w:jc w:val="left"/>
      </w:pPr>
      <w:r>
        <w:rPr>
          <w:rFonts w:ascii="仿宋_GB2312" w:eastAsia="仿宋_GB2312" w:cs="仿宋_GB2312" w:hAnsiTheme="minorHAnsi"/>
          <w:kern w:val="2"/>
          <w:sz w:val="32"/>
          <w:szCs w:val="32"/>
          <w:lang w:val="en-US" w:eastAsia="zh-CN" w:bidi="ar"/>
        </w:rPr>
        <w:t> </w:t>
      </w:r>
    </w:p>
    <w:p>
      <w:pPr>
        <w:keepNext w:val="0"/>
        <w:keepLines w:val="0"/>
        <w:widowControl/>
        <w:suppressLineNumbers w:val="0"/>
        <w:spacing w:before="0" w:beforeAutospacing="1" w:after="0" w:afterAutospacing="1" w:line="560" w:lineRule="exact"/>
        <w:ind w:left="0" w:right="0" w:firstLine="640" w:firstLineChars="200"/>
        <w:jc w:val="left"/>
      </w:pPr>
      <w:r>
        <w:rPr>
          <w:rFonts w:ascii="黑体" w:hAnsi="宋体" w:eastAsia="黑体" w:cs="黑体"/>
          <w:kern w:val="2"/>
          <w:sz w:val="32"/>
          <w:szCs w:val="32"/>
          <w:lang w:val="en-US" w:eastAsia="zh-CN" w:bidi="ar"/>
        </w:rPr>
        <w:t>一、总体情况</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仿宋_GB2312" w:eastAsia="仿宋_GB2312" w:cs="仿宋_GB2312" w:hAnsiTheme="minorHAnsi"/>
          <w:kern w:val="2"/>
          <w:sz w:val="32"/>
          <w:szCs w:val="32"/>
          <w:lang w:val="en-US" w:eastAsia="zh-CN" w:bidi="ar"/>
        </w:rPr>
        <w:t>本报告依据《中华人民共和国政府信息公开条例》（国务院令第 711 号，以下简称新《条例》）和《国务院办公厅政府信息与政务公开办公室关于印发中华人民共和国政府信息公开工作年度报告格式的通知》（国办公开办函〔2021〕30号）要求，由中源乡结合有关统计数据编制。本年度报告中所列数据的统计期限自2021年1月1日起至2021年12月31日止。全文包括总体情况、主动公开政府信息情况、收到和处理政府信息公开申请情况、政府信息公开行政复议行政诉讼情况、存在的主要问题及改进情况、其他需要报告的事项。本年度报 告 的 电 子 版 可 以 从 靖 安 县 人 民 政 府 网 站（http://www.jxjaxzf.gov.cn/）下载。如对本报告有任何疑问，请与中源乡党政办公室联系（地址：靖安县中源乡邱家街1号，电话：0795-4798156，邮编：330612）。</w:t>
      </w:r>
    </w:p>
    <w:p>
      <w:pPr>
        <w:keepNext w:val="0"/>
        <w:keepLines w:val="0"/>
        <w:widowControl/>
        <w:suppressLineNumbers w:val="0"/>
        <w:spacing w:before="0" w:beforeAutospacing="1" w:after="0" w:afterAutospacing="1" w:line="560" w:lineRule="exact"/>
        <w:ind w:left="0" w:right="0" w:firstLine="643" w:firstLineChars="200"/>
        <w:jc w:val="left"/>
      </w:pPr>
      <w:r>
        <w:rPr>
          <w:rFonts w:ascii="楷体_GB2312" w:eastAsia="楷体_GB2312" w:cs="楷体_GB2312" w:hAnsiTheme="minorHAnsi"/>
          <w:b/>
          <w:bCs/>
          <w:kern w:val="2"/>
          <w:sz w:val="32"/>
          <w:szCs w:val="32"/>
          <w:lang w:val="en-US" w:eastAsia="zh-CN" w:bidi="ar"/>
        </w:rPr>
        <w:t>（</w:t>
      </w:r>
      <w:r>
        <w:rPr>
          <w:rFonts w:hint="eastAsia" w:ascii="楷体_GB2312" w:eastAsia="楷体_GB2312" w:cs="楷体_GB2312" w:hAnsiTheme="minorHAnsi"/>
          <w:b/>
          <w:bCs/>
          <w:kern w:val="2"/>
          <w:sz w:val="32"/>
          <w:szCs w:val="32"/>
          <w:lang w:val="en-US" w:eastAsia="zh-CN" w:bidi="ar"/>
        </w:rPr>
        <w:t>一）主动公开</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仿宋_GB2312" w:eastAsia="仿宋_GB2312" w:cs="仿宋_GB2312" w:hAnsiTheme="minorHAnsi"/>
          <w:kern w:val="2"/>
          <w:sz w:val="32"/>
          <w:szCs w:val="32"/>
          <w:lang w:val="en-US" w:eastAsia="zh-CN" w:bidi="ar"/>
        </w:rPr>
        <w:t>2021年中源乡通过政务网累计主动公开政府信息114条。</w:t>
      </w:r>
    </w:p>
    <w:p>
      <w:pPr>
        <w:keepNext w:val="0"/>
        <w:keepLines w:val="0"/>
        <w:widowControl/>
        <w:suppressLineNumbers w:val="0"/>
        <w:spacing w:before="0" w:beforeAutospacing="1" w:after="0" w:afterAutospacing="1" w:line="560" w:lineRule="exact"/>
        <w:ind w:left="0" w:right="0" w:firstLine="643" w:firstLineChars="200"/>
        <w:jc w:val="left"/>
      </w:pPr>
      <w:r>
        <w:rPr>
          <w:rFonts w:hint="eastAsia" w:ascii="楷体_GB2312" w:eastAsia="楷体_GB2312" w:cs="楷体_GB2312" w:hAnsiTheme="minorHAnsi"/>
          <w:b/>
          <w:bCs/>
          <w:kern w:val="2"/>
          <w:sz w:val="32"/>
          <w:szCs w:val="32"/>
          <w:lang w:val="en-US" w:eastAsia="zh-CN" w:bidi="ar"/>
        </w:rPr>
        <w:t>（二）依申请公开</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仿宋_GB2312" w:eastAsia="仿宋_GB2312" w:cs="仿宋_GB2312" w:hAnsiTheme="minorHAnsi"/>
          <w:kern w:val="2"/>
          <w:sz w:val="32"/>
          <w:szCs w:val="32"/>
          <w:lang w:val="en-US" w:eastAsia="zh-CN" w:bidi="ar"/>
        </w:rPr>
        <w:t>2021年中源乡未收到依申请公开事项。</w:t>
      </w:r>
    </w:p>
    <w:p>
      <w:pPr>
        <w:keepNext w:val="0"/>
        <w:keepLines w:val="0"/>
        <w:widowControl/>
        <w:suppressLineNumbers w:val="0"/>
        <w:spacing w:before="0" w:beforeAutospacing="1" w:after="0" w:afterAutospacing="1" w:line="560" w:lineRule="exact"/>
        <w:ind w:left="0" w:right="0" w:firstLine="643" w:firstLineChars="200"/>
        <w:jc w:val="left"/>
      </w:pPr>
      <w:r>
        <w:rPr>
          <w:rFonts w:hint="eastAsia" w:ascii="楷体_GB2312" w:eastAsia="楷体_GB2312" w:cs="楷体_GB2312" w:hAnsiTheme="minorHAnsi"/>
          <w:b/>
          <w:bCs/>
          <w:kern w:val="2"/>
          <w:sz w:val="32"/>
          <w:szCs w:val="32"/>
          <w:lang w:val="en-US" w:eastAsia="zh-CN" w:bidi="ar"/>
        </w:rPr>
        <w:t>（三）政府信息管理</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仿宋_GB2312" w:eastAsia="仿宋_GB2312" w:cs="仿宋_GB2312" w:hAnsiTheme="minorHAnsi"/>
          <w:kern w:val="2"/>
          <w:sz w:val="32"/>
          <w:szCs w:val="32"/>
          <w:lang w:val="en-US" w:eastAsia="zh-CN" w:bidi="ar"/>
        </w:rPr>
        <w:t>中源乡政府信息管理工作由乡党政办负责，安排了专人负责政府信息公开工作，政府信息公开之前由分管领导负责审核把关，做到了领导重视、机构健全、人员到位。</w:t>
      </w:r>
    </w:p>
    <w:p>
      <w:pPr>
        <w:keepNext w:val="0"/>
        <w:keepLines w:val="0"/>
        <w:widowControl/>
        <w:suppressLineNumbers w:val="0"/>
        <w:spacing w:before="0" w:beforeAutospacing="1" w:after="0" w:afterAutospacing="1" w:line="560" w:lineRule="exact"/>
        <w:ind w:left="0" w:right="0" w:firstLine="643" w:firstLineChars="200"/>
        <w:jc w:val="left"/>
      </w:pPr>
      <w:r>
        <w:rPr>
          <w:rFonts w:hint="eastAsia" w:ascii="楷体_GB2312" w:eastAsia="楷体_GB2312" w:cs="楷体_GB2312" w:hAnsiTheme="minorHAnsi"/>
          <w:b/>
          <w:bCs/>
          <w:kern w:val="2"/>
          <w:sz w:val="32"/>
          <w:szCs w:val="32"/>
          <w:lang w:val="en-US" w:eastAsia="zh-CN" w:bidi="ar"/>
        </w:rPr>
        <w:t>（四）政府信息公开平台建设</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仿宋_GB2312" w:eastAsia="仿宋_GB2312" w:cs="仿宋_GB2312" w:hAnsiTheme="minorHAnsi"/>
          <w:kern w:val="2"/>
          <w:sz w:val="32"/>
          <w:szCs w:val="32"/>
          <w:lang w:val="en-US" w:eastAsia="zh-CN" w:bidi="ar"/>
        </w:rPr>
        <w:t>中源乡政府信息公开工作主要依托于靖安县人民政府信息公开网站（http://www.jxjaxzf.gov.cn/），及时发布、更新各类政务信息。同时，在乡便民服务大厅设立了政务公开专区，配备了电脑、打印机等硬件设施，为群众提供了更加便捷的政务公开服务。</w:t>
      </w:r>
    </w:p>
    <w:p>
      <w:pPr>
        <w:keepNext w:val="0"/>
        <w:keepLines w:val="0"/>
        <w:widowControl/>
        <w:numPr>
          <w:numId w:val="0"/>
        </w:numPr>
        <w:suppressLineNumbers w:val="0"/>
        <w:spacing w:before="0" w:beforeAutospacing="1" w:after="0" w:afterAutospacing="1" w:line="560" w:lineRule="exact"/>
        <w:ind w:left="0" w:right="0" w:firstLine="643" w:firstLineChars="200"/>
        <w:jc w:val="left"/>
      </w:pPr>
      <w:r>
        <w:rPr>
          <w:rFonts w:hint="eastAsia" w:ascii="楷体_GB2312" w:eastAsia="楷体_GB2312" w:cs="楷体_GB2312" w:hAnsiTheme="minorHAnsi"/>
          <w:b/>
          <w:bCs/>
          <w:kern w:val="2"/>
          <w:sz w:val="32"/>
          <w:szCs w:val="32"/>
          <w:lang w:val="en-US" w:eastAsia="zh-CN" w:bidi="ar"/>
        </w:rPr>
        <w:t>（五）监督保障</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仿宋_GB2312" w:eastAsia="仿宋_GB2312" w:cs="仿宋_GB2312" w:hAnsiTheme="minorHAnsi"/>
          <w:kern w:val="2"/>
          <w:sz w:val="32"/>
          <w:szCs w:val="32"/>
          <w:lang w:val="en-US" w:eastAsia="zh-CN" w:bidi="ar"/>
        </w:rPr>
        <w:t>中源乡主动在县人民政府信息公开网站上发布工作动态、政策文件、财政预决算、发展规划等相关信息，方便群众查询，接受社会监督。同时，设立了政府信息公开意见建议箱，让群众的意见与建议有了反馈的渠道。</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黑体" w:hAnsi="宋体" w:eastAsia="黑体" w:cs="黑体"/>
          <w:kern w:val="2"/>
          <w:sz w:val="32"/>
          <w:szCs w:val="32"/>
          <w:lang w:val="en-US" w:eastAsia="zh-CN" w:bidi="ar"/>
        </w:rPr>
        <w:t>二、主动公开政府信息情况</w:t>
      </w:r>
    </w:p>
    <w:tbl>
      <w:tblPr>
        <w:tblW w:w="8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630"/>
        <w:gridCol w:w="1744"/>
        <w:gridCol w:w="2106"/>
        <w:gridCol w:w="2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val="0"/>
                <w:bCs w:val="0"/>
                <w:i w:val="0"/>
                <w:iCs w:val="0"/>
                <w:color w:val="333333"/>
                <w:kern w:val="0"/>
                <w:sz w:val="18"/>
                <w:szCs w:val="18"/>
                <w:bdr w:val="none" w:color="auto" w:sz="0" w:space="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jc w:val="center"/>
        </w:trPr>
        <w:tc>
          <w:tcPr>
            <w:tcW w:w="163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val="0"/>
                <w:bCs w:val="0"/>
                <w:i w:val="0"/>
                <w:iCs w:val="0"/>
                <w:color w:val="333333"/>
                <w:kern w:val="0"/>
                <w:sz w:val="18"/>
                <w:szCs w:val="18"/>
                <w:bdr w:val="none" w:color="auto" w:sz="0" w:space="0"/>
                <w:lang w:val="en-US" w:eastAsia="zh-CN" w:bidi="ar"/>
              </w:rPr>
              <w:t>信息内容</w:t>
            </w:r>
          </w:p>
        </w:tc>
        <w:tc>
          <w:tcPr>
            <w:tcW w:w="1744"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val="0"/>
                <w:bCs w:val="0"/>
                <w:i w:val="0"/>
                <w:iCs w:val="0"/>
                <w:color w:val="333333"/>
                <w:kern w:val="0"/>
                <w:sz w:val="18"/>
                <w:szCs w:val="18"/>
                <w:bdr w:val="none" w:color="auto" w:sz="0" w:space="0"/>
                <w:lang w:val="en-US" w:eastAsia="zh-CN" w:bidi="ar"/>
              </w:rPr>
              <w:t>本年制发件数</w:t>
            </w:r>
          </w:p>
        </w:tc>
        <w:tc>
          <w:tcPr>
            <w:tcW w:w="210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val="0"/>
                <w:bCs w:val="0"/>
                <w:i w:val="0"/>
                <w:iCs w:val="0"/>
                <w:color w:val="333333"/>
                <w:kern w:val="0"/>
                <w:sz w:val="18"/>
                <w:szCs w:val="18"/>
                <w:bdr w:val="none" w:color="auto" w:sz="0" w:space="0"/>
                <w:lang w:val="en-US" w:eastAsia="zh-CN" w:bidi="ar"/>
              </w:rPr>
              <w:t>本年废止件数</w:t>
            </w:r>
          </w:p>
        </w:tc>
        <w:tc>
          <w:tcPr>
            <w:tcW w:w="26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val="0"/>
                <w:bCs w:val="0"/>
                <w:i w:val="0"/>
                <w:iCs w:val="0"/>
                <w:color w:val="333333"/>
                <w:kern w:val="0"/>
                <w:sz w:val="18"/>
                <w:szCs w:val="18"/>
                <w:bdr w:val="none" w:color="auto" w:sz="0" w:space="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3" w:hRule="atLeast"/>
          <w:jc w:val="center"/>
        </w:trPr>
        <w:tc>
          <w:tcPr>
            <w:tcW w:w="163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val="0"/>
                <w:bCs w:val="0"/>
                <w:i w:val="0"/>
                <w:iCs w:val="0"/>
                <w:color w:val="333333"/>
                <w:kern w:val="0"/>
                <w:sz w:val="18"/>
                <w:szCs w:val="18"/>
                <w:bdr w:val="none" w:color="auto" w:sz="0" w:space="0"/>
                <w:lang w:val="en-US" w:eastAsia="zh-CN" w:bidi="ar"/>
              </w:rPr>
              <w:t>规章</w:t>
            </w:r>
          </w:p>
        </w:tc>
        <w:tc>
          <w:tcPr>
            <w:tcW w:w="1744"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val="0"/>
                <w:bCs w:val="0"/>
                <w:kern w:val="0"/>
                <w:sz w:val="24"/>
                <w:szCs w:val="24"/>
                <w:bdr w:val="none" w:color="auto" w:sz="0" w:space="0"/>
                <w:lang w:val="en-US" w:eastAsia="zh-CN" w:bidi="ar"/>
              </w:rPr>
              <w:t>0</w:t>
            </w:r>
          </w:p>
        </w:tc>
        <w:tc>
          <w:tcPr>
            <w:tcW w:w="21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val="0"/>
                <w:bCs w:val="0"/>
                <w:kern w:val="0"/>
                <w:sz w:val="24"/>
                <w:szCs w:val="24"/>
                <w:bdr w:val="none" w:color="auto" w:sz="0" w:space="0"/>
                <w:lang w:val="en-US" w:eastAsia="zh-CN" w:bidi="ar"/>
              </w:rPr>
              <w:t>0</w:t>
            </w:r>
          </w:p>
        </w:tc>
        <w:tc>
          <w:tcPr>
            <w:tcW w:w="26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71" w:hRule="atLeast"/>
          <w:jc w:val="center"/>
        </w:trPr>
        <w:tc>
          <w:tcPr>
            <w:tcW w:w="163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val="0"/>
                <w:bCs w:val="0"/>
                <w:i w:val="0"/>
                <w:iCs w:val="0"/>
                <w:color w:val="333333"/>
                <w:kern w:val="0"/>
                <w:sz w:val="18"/>
                <w:szCs w:val="18"/>
                <w:bdr w:val="none" w:color="auto" w:sz="0" w:space="0"/>
                <w:lang w:val="en-US" w:eastAsia="zh-CN" w:bidi="ar"/>
              </w:rPr>
              <w:t>规范性文件</w:t>
            </w:r>
          </w:p>
        </w:tc>
        <w:tc>
          <w:tcPr>
            <w:tcW w:w="1744"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val="0"/>
                <w:bCs w:val="0"/>
                <w:kern w:val="0"/>
                <w:sz w:val="24"/>
                <w:szCs w:val="24"/>
                <w:bdr w:val="none" w:color="auto" w:sz="0" w:space="0"/>
                <w:lang w:val="en-US" w:eastAsia="zh-CN" w:bidi="ar"/>
              </w:rPr>
              <w:t>0</w:t>
            </w:r>
          </w:p>
        </w:tc>
        <w:tc>
          <w:tcPr>
            <w:tcW w:w="21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val="0"/>
                <w:bCs w:val="0"/>
                <w:kern w:val="0"/>
                <w:sz w:val="24"/>
                <w:szCs w:val="24"/>
                <w:bdr w:val="none" w:color="auto" w:sz="0" w:space="0"/>
                <w:lang w:val="en-US" w:eastAsia="zh-CN" w:bidi="ar"/>
              </w:rPr>
              <w:t>0</w:t>
            </w:r>
          </w:p>
        </w:tc>
        <w:tc>
          <w:tcPr>
            <w:tcW w:w="26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val="0"/>
                <w:bCs w:val="0"/>
                <w:i w:val="0"/>
                <w:iCs w:val="0"/>
                <w:color w:val="333333"/>
                <w:kern w:val="0"/>
                <w:sz w:val="18"/>
                <w:szCs w:val="18"/>
                <w:bdr w:val="none" w:color="auto" w:sz="0" w:space="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163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val="0"/>
                <w:bCs w:val="0"/>
                <w:i w:val="0"/>
                <w:iCs w:val="0"/>
                <w:color w:val="333333"/>
                <w:kern w:val="0"/>
                <w:sz w:val="18"/>
                <w:szCs w:val="18"/>
                <w:bdr w:val="none" w:color="auto" w:sz="0" w:space="0"/>
                <w:lang w:val="en-US" w:eastAsia="zh-CN" w:bidi="ar"/>
              </w:rPr>
              <w:t>信息内容</w:t>
            </w:r>
          </w:p>
        </w:tc>
        <w:tc>
          <w:tcPr>
            <w:tcW w:w="6510" w:type="dxa"/>
            <w:gridSpan w:val="3"/>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val="0"/>
                <w:bCs w:val="0"/>
                <w:i w:val="0"/>
                <w:iCs w:val="0"/>
                <w:color w:val="333333"/>
                <w:kern w:val="0"/>
                <w:sz w:val="18"/>
                <w:szCs w:val="18"/>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 w:hRule="atLeast"/>
          <w:jc w:val="center"/>
        </w:trPr>
        <w:tc>
          <w:tcPr>
            <w:tcW w:w="163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val="0"/>
                <w:bCs w:val="0"/>
                <w:i w:val="0"/>
                <w:iCs w:val="0"/>
                <w:color w:val="333333"/>
                <w:kern w:val="0"/>
                <w:sz w:val="18"/>
                <w:szCs w:val="18"/>
                <w:bdr w:val="none" w:color="auto" w:sz="0" w:space="0"/>
                <w:lang w:val="en-US" w:eastAsia="zh-CN" w:bidi="ar"/>
              </w:rPr>
              <w:t>行政许可</w:t>
            </w:r>
          </w:p>
        </w:tc>
        <w:tc>
          <w:tcPr>
            <w:tcW w:w="6510" w:type="dxa"/>
            <w:gridSpan w:val="3"/>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0" w:hRule="atLeast"/>
          <w:jc w:val="center"/>
        </w:trPr>
        <w:tc>
          <w:tcPr>
            <w:tcW w:w="8140" w:type="dxa"/>
            <w:gridSpan w:val="4"/>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val="0"/>
                <w:bCs w:val="0"/>
                <w:i w:val="0"/>
                <w:iCs w:val="0"/>
                <w:color w:val="333333"/>
                <w:kern w:val="0"/>
                <w:sz w:val="18"/>
                <w:szCs w:val="18"/>
                <w:bdr w:val="none" w:color="auto" w:sz="0" w:space="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jc w:val="center"/>
        </w:trPr>
        <w:tc>
          <w:tcPr>
            <w:tcW w:w="1630" w:type="dxa"/>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val="0"/>
                <w:bCs w:val="0"/>
                <w:i w:val="0"/>
                <w:iCs w:val="0"/>
                <w:color w:val="333333"/>
                <w:kern w:val="0"/>
                <w:sz w:val="18"/>
                <w:szCs w:val="18"/>
                <w:bdr w:val="none" w:color="auto" w:sz="0" w:space="0"/>
                <w:lang w:val="en-US" w:eastAsia="zh-CN" w:bidi="ar"/>
              </w:rPr>
              <w:t>信息内容</w:t>
            </w:r>
          </w:p>
        </w:tc>
        <w:tc>
          <w:tcPr>
            <w:tcW w:w="6510" w:type="dxa"/>
            <w:gridSpan w:val="3"/>
            <w:tcBorders>
              <w:top w:val="nil"/>
              <w:left w:val="nil"/>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val="0"/>
                <w:bCs w:val="0"/>
                <w:i w:val="0"/>
                <w:iCs w:val="0"/>
                <w:color w:val="333333"/>
                <w:kern w:val="0"/>
                <w:sz w:val="18"/>
                <w:szCs w:val="18"/>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163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val="0"/>
                <w:bCs w:val="0"/>
                <w:i w:val="0"/>
                <w:iCs w:val="0"/>
                <w:color w:val="333333"/>
                <w:kern w:val="0"/>
                <w:sz w:val="18"/>
                <w:szCs w:val="18"/>
                <w:bdr w:val="none" w:color="auto" w:sz="0" w:space="0"/>
                <w:lang w:val="en-US" w:eastAsia="zh-CN" w:bidi="ar"/>
              </w:rPr>
              <w:t>行政处罚</w:t>
            </w:r>
          </w:p>
        </w:tc>
        <w:tc>
          <w:tcPr>
            <w:tcW w:w="6510" w:type="dxa"/>
            <w:gridSpan w:val="3"/>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jc w:val="center"/>
        </w:trPr>
        <w:tc>
          <w:tcPr>
            <w:tcW w:w="163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val="0"/>
                <w:bCs w:val="0"/>
                <w:i w:val="0"/>
                <w:iCs w:val="0"/>
                <w:color w:val="333333"/>
                <w:kern w:val="0"/>
                <w:sz w:val="18"/>
                <w:szCs w:val="18"/>
                <w:bdr w:val="none" w:color="auto" w:sz="0" w:space="0"/>
                <w:lang w:val="en-US" w:eastAsia="zh-CN" w:bidi="ar"/>
              </w:rPr>
              <w:t>行政强制</w:t>
            </w:r>
          </w:p>
        </w:tc>
        <w:tc>
          <w:tcPr>
            <w:tcW w:w="6510" w:type="dxa"/>
            <w:gridSpan w:val="3"/>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9" w:hRule="atLeast"/>
          <w:jc w:val="center"/>
        </w:trPr>
        <w:tc>
          <w:tcPr>
            <w:tcW w:w="8140" w:type="dxa"/>
            <w:gridSpan w:val="4"/>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val="0"/>
                <w:bCs w:val="0"/>
                <w:i w:val="0"/>
                <w:iCs w:val="0"/>
                <w:color w:val="333333"/>
                <w:kern w:val="0"/>
                <w:sz w:val="18"/>
                <w:szCs w:val="18"/>
                <w:bdr w:val="none" w:color="auto" w:sz="0" w:space="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74" w:hRule="atLeast"/>
          <w:jc w:val="center"/>
        </w:trPr>
        <w:tc>
          <w:tcPr>
            <w:tcW w:w="1630" w:type="dxa"/>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val="0"/>
                <w:bCs w:val="0"/>
                <w:i w:val="0"/>
                <w:iCs w:val="0"/>
                <w:color w:val="333333"/>
                <w:kern w:val="0"/>
                <w:sz w:val="18"/>
                <w:szCs w:val="18"/>
                <w:bdr w:val="none" w:color="auto" w:sz="0" w:space="0"/>
                <w:lang w:val="en-US" w:eastAsia="zh-CN" w:bidi="ar"/>
              </w:rPr>
              <w:t>信息内容</w:t>
            </w:r>
          </w:p>
        </w:tc>
        <w:tc>
          <w:tcPr>
            <w:tcW w:w="6510" w:type="dxa"/>
            <w:gridSpan w:val="3"/>
            <w:tcBorders>
              <w:top w:val="nil"/>
              <w:left w:val="nil"/>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val="0"/>
                <w:bCs w:val="0"/>
                <w:i w:val="0"/>
                <w:iCs w:val="0"/>
                <w:color w:val="333333"/>
                <w:kern w:val="0"/>
                <w:sz w:val="18"/>
                <w:szCs w:val="18"/>
                <w:bdr w:val="none" w:color="auto" w:sz="0" w:space="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jc w:val="center"/>
        </w:trPr>
        <w:tc>
          <w:tcPr>
            <w:tcW w:w="163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val="0"/>
                <w:bCs w:val="0"/>
                <w:i w:val="0"/>
                <w:iCs w:val="0"/>
                <w:color w:val="333333"/>
                <w:kern w:val="0"/>
                <w:sz w:val="18"/>
                <w:szCs w:val="18"/>
                <w:bdr w:val="none" w:color="auto" w:sz="0" w:space="0"/>
                <w:lang w:val="en-US" w:eastAsia="zh-CN" w:bidi="ar"/>
              </w:rPr>
              <w:t>行政事业性收费</w:t>
            </w:r>
          </w:p>
        </w:tc>
        <w:tc>
          <w:tcPr>
            <w:tcW w:w="6510" w:type="dxa"/>
            <w:gridSpan w:val="3"/>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val="0"/>
                <w:bCs w:val="0"/>
                <w:kern w:val="0"/>
                <w:sz w:val="24"/>
                <w:szCs w:val="24"/>
                <w:bdr w:val="none" w:color="auto" w:sz="0" w:space="0"/>
                <w:lang w:val="en-US" w:eastAsia="zh-CN" w:bidi="ar"/>
              </w:rPr>
              <w:t>0</w:t>
            </w:r>
          </w:p>
        </w:tc>
      </w:tr>
    </w:tbl>
    <w:p>
      <w:pPr>
        <w:keepNext w:val="0"/>
        <w:keepLines w:val="0"/>
        <w:widowControl/>
        <w:suppressLineNumbers w:val="0"/>
        <w:spacing w:before="0" w:beforeAutospacing="1" w:after="0" w:afterAutospacing="1" w:line="560" w:lineRule="exact"/>
        <w:ind w:left="0" w:right="0" w:firstLine="640" w:firstLineChars="200"/>
        <w:jc w:val="left"/>
      </w:pPr>
      <w:r>
        <w:rPr>
          <w:rFonts w:hint="eastAsia" w:ascii="黑体" w:hAnsi="宋体" w:eastAsia="黑体" w:cs="黑体"/>
          <w:kern w:val="2"/>
          <w:sz w:val="32"/>
          <w:szCs w:val="32"/>
          <w:lang w:val="en-US" w:eastAsia="zh-CN" w:bidi="ar"/>
        </w:rPr>
        <w:t>三、收到和处理政府信息公开申请情况</w:t>
      </w:r>
    </w:p>
    <w:tbl>
      <w:tblPr>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ascii="楷体" w:hAnsi="楷体" w:eastAsia="楷体" w:cs="楷体"/>
                <w:kern w:val="0"/>
                <w:sz w:val="20"/>
                <w:szCs w:val="20"/>
                <w:bdr w:val="none" w:color="auto" w:sz="0" w:space="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商业</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企业</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科研</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机构</w:t>
            </w:r>
          </w:p>
        </w:tc>
        <w:tc>
          <w:tcPr>
            <w:tcW w:w="688"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ascii="Calibri" w:hAnsi="Calibri" w:eastAsia="宋体" w:cs="Calibri"/>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 0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（一）予以公开</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9" w:type="dxa"/>
            <w:tcBorders>
              <w:top w:val="single" w:color="auto" w:sz="8" w:space="0"/>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（二）部分公开</w:t>
            </w:r>
            <w:r>
              <w:rPr>
                <w:rFonts w:hint="eastAsia" w:ascii="楷体" w:hAnsi="楷体" w:eastAsia="楷体" w:cs="楷体"/>
                <w:kern w:val="0"/>
                <w:sz w:val="20"/>
                <w:szCs w:val="20"/>
                <w:bdr w:val="none" w:color="auto" w:sz="0" w:space="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（三）不予公开</w:t>
            </w: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1.属于国家秘密</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9" w:type="dxa"/>
            <w:tcBorders>
              <w:top w:val="single" w:color="auto" w:sz="8" w:space="0"/>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2.其他法律行政法规禁止公开</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3.危及“三安全一稳定”</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4.保护第三方合法权益</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5.属于三类内部事务信息</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6.属于四类过程性信息</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7.属于行政执法案卷</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8.属于行政查询事项</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（四）无法提供</w:t>
            </w: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1.本机关不掌握相关政府信息</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2.没有现成信息需要另行制作</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3.补正后申请内容仍不明确</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（五）不予处理</w:t>
            </w: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1.信访举报投诉类申请</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2.重复申请</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3.要求提供公开出版物</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4.无正当理由大量反复申请</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both"/>
            </w:pPr>
            <w:r>
              <w:rPr>
                <w:rFonts w:hint="eastAsia" w:ascii="宋体" w:hAnsi="宋体" w:eastAsia="宋体" w:cs="宋体"/>
                <w:kern w:val="0"/>
                <w:sz w:val="20"/>
                <w:szCs w:val="20"/>
                <w:bdr w:val="none" w:color="auto" w:sz="0" w:space="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0 </w:t>
            </w:r>
          </w:p>
        </w:tc>
        <w:tc>
          <w:tcPr>
            <w:tcW w:w="688"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9" w:type="dxa"/>
            <w:tcBorders>
              <w:top w:val="nil"/>
              <w:left w:val="nil"/>
              <w:bottom w:val="outset"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（六）其他处理</w:t>
            </w:r>
          </w:p>
        </w:tc>
        <w:tc>
          <w:tcPr>
            <w:tcW w:w="322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both"/>
            </w:pPr>
            <w:r>
              <w:rPr>
                <w:rFonts w:hint="eastAsia" w:ascii="宋体" w:hAnsi="宋体" w:eastAsia="宋体" w:cs="宋体"/>
                <w:kern w:val="0"/>
                <w:sz w:val="20"/>
                <w:szCs w:val="20"/>
                <w:bdr w:val="none" w:color="auto" w:sz="0" w:space="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both"/>
            </w:pPr>
            <w:r>
              <w:rPr>
                <w:rFonts w:hint="eastAsia" w:ascii="宋体" w:hAnsi="宋体" w:eastAsia="宋体" w:cs="宋体"/>
                <w:kern w:val="0"/>
                <w:sz w:val="20"/>
                <w:szCs w:val="20"/>
                <w:bdr w:val="none" w:color="auto" w:sz="0" w:space="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3.其他</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（七）总计</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四、结转下年度继续办理</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 0</w:t>
            </w:r>
          </w:p>
        </w:tc>
      </w:tr>
    </w:tbl>
    <w:p>
      <w:pPr>
        <w:keepNext w:val="0"/>
        <w:keepLines w:val="0"/>
        <w:widowControl/>
        <w:suppressLineNumbers w:val="0"/>
        <w:spacing w:before="0" w:beforeAutospacing="1" w:after="0" w:afterAutospacing="1" w:line="560" w:lineRule="exact"/>
        <w:ind w:left="0" w:right="0" w:firstLine="640" w:firstLineChars="200"/>
        <w:jc w:val="left"/>
      </w:pPr>
      <w:r>
        <w:rPr>
          <w:rFonts w:hint="eastAsia" w:ascii="黑体" w:hAnsi="宋体" w:eastAsia="黑体" w:cs="黑体"/>
          <w:kern w:val="2"/>
          <w:sz w:val="32"/>
          <w:szCs w:val="32"/>
          <w:lang w:val="en-US" w:eastAsia="zh-CN" w:bidi="ar"/>
        </w:rPr>
        <w:t>四、政府信息公开行政复议、行政诉讼情况</w:t>
      </w:r>
    </w:p>
    <w:tbl>
      <w:tblPr>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结果维持</w:t>
            </w:r>
          </w:p>
        </w:tc>
        <w:tc>
          <w:tcPr>
            <w:tcW w:w="60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结果维持</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结果纠正</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其他结果</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尚未审结</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总计</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结果维持</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结果纠正</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其他结果</w:t>
            </w:r>
          </w:p>
        </w:tc>
        <w:tc>
          <w:tcPr>
            <w:tcW w:w="60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尚未审结</w:t>
            </w:r>
          </w:p>
        </w:tc>
        <w:tc>
          <w:tcPr>
            <w:tcW w:w="60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eastAsia="宋体" w:cs="宋体"/>
                <w:kern w:val="0"/>
                <w:sz w:val="20"/>
                <w:szCs w:val="20"/>
                <w:bdr w:val="none" w:color="auto" w:sz="0" w:space="0"/>
                <w:lang w:val="en-US" w:eastAsia="zh-CN" w:bidi="ar"/>
              </w:rPr>
              <w:t> </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w:t>
            </w:r>
          </w:p>
        </w:tc>
        <w:tc>
          <w:tcPr>
            <w:tcW w:w="5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0</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p>
        </w:tc>
      </w:tr>
    </w:tbl>
    <w:p>
      <w:pPr>
        <w:keepNext w:val="0"/>
        <w:keepLines w:val="0"/>
        <w:widowControl/>
        <w:suppressLineNumbers w:val="0"/>
        <w:spacing w:before="0" w:beforeAutospacing="1" w:after="0" w:afterAutospacing="1" w:line="560" w:lineRule="exact"/>
        <w:ind w:left="0" w:right="0" w:firstLine="640" w:firstLineChars="200"/>
        <w:jc w:val="left"/>
      </w:pPr>
      <w:r>
        <w:rPr>
          <w:rFonts w:hint="eastAsia" w:ascii="方正小标宋简体" w:hAnsi="方正小标宋简体" w:eastAsia="方正小标宋简体" w:cs="方正小标宋简体"/>
          <w:kern w:val="2"/>
          <w:sz w:val="32"/>
          <w:szCs w:val="32"/>
          <w:lang w:val="en-US" w:eastAsia="zh-CN" w:bidi="ar"/>
        </w:rPr>
        <w:t>五、存在的主要问题及改进情况</w:t>
      </w:r>
    </w:p>
    <w:p>
      <w:pPr>
        <w:keepNext w:val="0"/>
        <w:keepLines w:val="0"/>
        <w:widowControl/>
        <w:suppressLineNumbers w:val="0"/>
        <w:spacing w:before="0" w:beforeAutospacing="1" w:after="0" w:afterAutospacing="1" w:line="560" w:lineRule="exact"/>
        <w:ind w:left="0" w:right="0" w:firstLine="645"/>
        <w:jc w:val="left"/>
      </w:pPr>
      <w:r>
        <w:rPr>
          <w:rFonts w:hint="eastAsia" w:ascii="楷体_GB2312" w:eastAsia="楷体_GB2312" w:cs="楷体_GB2312" w:hAnsiTheme="minorHAnsi"/>
          <w:b/>
          <w:bCs/>
          <w:kern w:val="2"/>
          <w:sz w:val="32"/>
          <w:szCs w:val="32"/>
          <w:lang w:val="en-US" w:eastAsia="zh-CN" w:bidi="ar"/>
        </w:rPr>
        <w:t>（一）工作中存在的问题。</w:t>
      </w:r>
      <w:r>
        <w:rPr>
          <w:rFonts w:hint="eastAsia" w:ascii="仿宋_GB2312" w:eastAsia="仿宋_GB2312" w:cs="仿宋_GB2312" w:hAnsiTheme="minorHAnsi"/>
          <w:kern w:val="2"/>
          <w:sz w:val="32"/>
          <w:szCs w:val="32"/>
          <w:lang w:val="en-US" w:eastAsia="zh-CN" w:bidi="ar"/>
        </w:rPr>
        <w:t>一是信息公开内容不够全面；二是公开时效有待进一步提高；三是信息公开的格式需要进一步规范。</w:t>
      </w:r>
    </w:p>
    <w:p>
      <w:pPr>
        <w:keepNext w:val="0"/>
        <w:keepLines w:val="0"/>
        <w:widowControl/>
        <w:suppressLineNumbers w:val="0"/>
        <w:spacing w:before="0" w:beforeAutospacing="1" w:after="0" w:afterAutospacing="1" w:line="560" w:lineRule="exact"/>
        <w:ind w:left="0" w:right="0" w:firstLine="645"/>
        <w:jc w:val="left"/>
      </w:pPr>
      <w:r>
        <w:rPr>
          <w:rFonts w:hint="eastAsia" w:ascii="楷体_GB2312" w:eastAsia="楷体_GB2312" w:cs="楷体_GB2312" w:hAnsiTheme="minorHAnsi"/>
          <w:b/>
          <w:bCs/>
          <w:kern w:val="2"/>
          <w:sz w:val="32"/>
          <w:szCs w:val="32"/>
          <w:lang w:val="en-US" w:eastAsia="zh-CN" w:bidi="ar"/>
        </w:rPr>
        <w:t>（二）2021年工作打算。</w:t>
      </w:r>
      <w:r>
        <w:rPr>
          <w:rFonts w:hint="eastAsia" w:ascii="仿宋_GB2312" w:eastAsia="仿宋_GB2312" w:cs="仿宋_GB2312" w:hAnsiTheme="minorHAnsi"/>
          <w:b/>
          <w:bCs/>
          <w:kern w:val="2"/>
          <w:sz w:val="32"/>
          <w:szCs w:val="32"/>
          <w:lang w:val="en-US" w:eastAsia="zh-CN" w:bidi="ar"/>
        </w:rPr>
        <w:t>一是提高思想认识。</w:t>
      </w:r>
      <w:r>
        <w:rPr>
          <w:rFonts w:hint="eastAsia" w:ascii="仿宋_GB2312" w:eastAsia="仿宋_GB2312" w:cs="仿宋_GB2312" w:hAnsiTheme="minorHAnsi"/>
          <w:kern w:val="2"/>
          <w:sz w:val="32"/>
          <w:szCs w:val="32"/>
          <w:lang w:val="en-US" w:eastAsia="zh-CN" w:bidi="ar"/>
        </w:rPr>
        <w:t>始终将政务公开作为一项重要内容，加强对《中华人民共和国政府信息公开条例》的学习宣传，进一步提高思想认识，增强做好政务公开工作的责任感和使命感；</w:t>
      </w:r>
      <w:r>
        <w:rPr>
          <w:rFonts w:hint="eastAsia" w:ascii="仿宋_GB2312" w:eastAsia="仿宋_GB2312" w:cs="仿宋_GB2312" w:hAnsiTheme="minorHAnsi"/>
          <w:b/>
          <w:bCs/>
          <w:kern w:val="2"/>
          <w:sz w:val="32"/>
          <w:szCs w:val="32"/>
          <w:lang w:val="en-US" w:eastAsia="zh-CN" w:bidi="ar"/>
        </w:rPr>
        <w:t>二是丰富公开内容</w:t>
      </w:r>
      <w:r>
        <w:rPr>
          <w:rFonts w:hint="eastAsia" w:ascii="仿宋_GB2312" w:eastAsia="仿宋_GB2312" w:cs="仿宋_GB2312" w:hAnsiTheme="minorHAnsi"/>
          <w:kern w:val="2"/>
          <w:sz w:val="32"/>
          <w:szCs w:val="32"/>
          <w:lang w:val="en-US" w:eastAsia="zh-CN" w:bidi="ar"/>
        </w:rPr>
        <w:t>。按照“公开为原则、不公开为例外”的要求，不断拓宽公开领域，细化公开内容，丰富公开形式，及时、准确、全面公开群众普遍关心、涉及群众切身利益的政府信息；</w:t>
      </w:r>
      <w:r>
        <w:rPr>
          <w:rFonts w:hint="eastAsia" w:ascii="仿宋_GB2312" w:eastAsia="仿宋_GB2312" w:cs="仿宋_GB2312" w:hAnsiTheme="minorHAnsi"/>
          <w:b/>
          <w:bCs/>
          <w:kern w:val="2"/>
          <w:sz w:val="32"/>
          <w:szCs w:val="32"/>
          <w:lang w:val="en-US" w:eastAsia="zh-CN" w:bidi="ar"/>
        </w:rPr>
        <w:t>三是完善公开制度。</w:t>
      </w:r>
      <w:r>
        <w:rPr>
          <w:rFonts w:hint="eastAsia" w:ascii="仿宋_GB2312" w:eastAsia="仿宋_GB2312" w:cs="仿宋_GB2312" w:hAnsiTheme="minorHAnsi"/>
          <w:kern w:val="2"/>
          <w:sz w:val="32"/>
          <w:szCs w:val="32"/>
          <w:lang w:val="en-US" w:eastAsia="zh-CN" w:bidi="ar"/>
        </w:rPr>
        <w:t>进一步完善政府信息公开各项规章制度，形成以制度管人、以制度谋事的长效机制，进一步规范政府信息公开工作，确保公开信息中的内容数据准确无误、格式统一规范。</w:t>
      </w:r>
    </w:p>
    <w:p>
      <w:pPr>
        <w:keepNext w:val="0"/>
        <w:keepLines w:val="0"/>
        <w:widowControl/>
        <w:suppressLineNumbers w:val="0"/>
        <w:spacing w:before="0" w:beforeAutospacing="1" w:after="0" w:afterAutospacing="1" w:line="560" w:lineRule="exact"/>
        <w:ind w:left="0" w:right="0" w:firstLine="645"/>
        <w:jc w:val="left"/>
      </w:pPr>
      <w:r>
        <w:rPr>
          <w:rFonts w:hint="eastAsia" w:ascii="黑体" w:hAnsi="宋体" w:eastAsia="黑体" w:cs="黑体"/>
          <w:kern w:val="2"/>
          <w:sz w:val="32"/>
          <w:szCs w:val="32"/>
          <w:lang w:val="en-US" w:eastAsia="zh-CN" w:bidi="ar"/>
        </w:rPr>
        <w:t>六、其他需要报告的事项</w:t>
      </w:r>
    </w:p>
    <w:p>
      <w:pPr>
        <w:keepNext w:val="0"/>
        <w:keepLines w:val="0"/>
        <w:widowControl/>
        <w:suppressLineNumbers w:val="0"/>
        <w:spacing w:before="0" w:beforeAutospacing="1" w:after="0" w:afterAutospacing="1" w:line="560" w:lineRule="exact"/>
        <w:ind w:left="0" w:right="0" w:firstLine="645"/>
        <w:jc w:val="left"/>
      </w:pPr>
      <w:r>
        <w:rPr>
          <w:rFonts w:hint="eastAsia" w:ascii="仿宋_GB2312" w:eastAsia="仿宋_GB2312" w:cs="仿宋_GB2312" w:hAnsiTheme="minorHAnsi"/>
          <w:kern w:val="2"/>
          <w:sz w:val="32"/>
          <w:szCs w:val="32"/>
          <w:lang w:val="en-US" w:eastAsia="zh-CN" w:bidi="ar"/>
        </w:rPr>
        <w:t>我单位今年未发生收取信息处理费的情况。本年度无其他需要报告的事项。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jNGQ2ZjQxNjg0MzQ0MTQyMjQ3ZmNmYjYxZTllMzAifQ=="/>
  </w:docVars>
  <w:rsids>
    <w:rsidRoot w:val="6D36264E"/>
    <w:rsid w:val="6D36264E"/>
    <w:rsid w:val="7C644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2560</Words>
  <Characters>2704</Characters>
  <Lines>0</Lines>
  <Paragraphs>0</Paragraphs>
  <TotalTime>11</TotalTime>
  <ScaleCrop>false</ScaleCrop>
  <LinksUpToDate>false</LinksUpToDate>
  <CharactersWithSpaces>2706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2023-01-18T12:25:00Z</dcterms:created>
  <dc:creator>Administrator</dc:creator>
  <cp:lastModifiedBy>Administrator</cp:lastModifiedBy>
  <dcterms:modified xsi:type="dcterms:W3CDTF">2023-01-18T12:37:33Z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EFEF871D6ACD4761930370F24C076432</vt:lpwstr>
  </property>
</Properties>
</file>