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三爪仑乡2021年</w:t>
      </w: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eastAsia" w:ascii="仿宋_GB2312" w:hAnsi="仿宋_GB2312" w:eastAsia="仿宋_GB2312" w:cs="仿宋_GB2312"/>
          <w:b/>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val="en-US" w:eastAsia="zh-CN"/>
        </w:rPr>
        <w:t>2021年，靖安县三爪仑乡人民政府</w:t>
      </w:r>
      <w:r>
        <w:rPr>
          <w:rFonts w:hint="eastAsia" w:ascii="仿宋_GB2312" w:hAnsi="仿宋_GB2312" w:eastAsia="仿宋_GB2312" w:cs="仿宋_GB2312"/>
          <w:i w:val="0"/>
          <w:caps w:val="0"/>
          <w:color w:val="333333"/>
          <w:spacing w:val="0"/>
          <w:sz w:val="32"/>
          <w:szCs w:val="32"/>
        </w:rPr>
        <w:t>依据《中华人民共和国政府信息公开条例》</w:t>
      </w:r>
      <w:r>
        <w:rPr>
          <w:rFonts w:hint="eastAsia" w:ascii="仿宋_GB2312" w:hAnsi="仿宋_GB2312" w:eastAsia="仿宋_GB2312" w:cs="仿宋_GB2312"/>
          <w:i w:val="0"/>
          <w:caps w:val="0"/>
          <w:color w:val="333333"/>
          <w:spacing w:val="0"/>
          <w:sz w:val="32"/>
          <w:szCs w:val="32"/>
          <w:lang w:eastAsia="zh-CN"/>
        </w:rPr>
        <w:t>规定和县委、县政府要求，扎实开展信息公开工作，现就</w:t>
      </w:r>
      <w:r>
        <w:rPr>
          <w:rFonts w:hint="eastAsia" w:ascii="仿宋_GB2312" w:hAnsi="仿宋_GB2312" w:eastAsia="仿宋_GB2312" w:cs="仿宋_GB2312"/>
          <w:i w:val="0"/>
          <w:caps w:val="0"/>
          <w:color w:val="333333"/>
          <w:spacing w:val="0"/>
          <w:sz w:val="32"/>
          <w:szCs w:val="32"/>
          <w:lang w:val="en-US" w:eastAsia="zh-CN"/>
        </w:rPr>
        <w:t>2021年三爪仑乡政府信息公开工作向社会公开。本报告包含总体情况、主动公开政府信息情况、收到和处理政府信息公开申请情况、被申请行政复议和提起行政诉讼情况、存在主要问题及改进情况、其他需要报告的事项等六个部分，报告中所列数据的统计期限为2021年1月1日至12月31日止。本年度报告的电子版可以从靖安县人民政府网站三爪仑乡信息公开页面下载，</w:t>
      </w:r>
      <w:r>
        <w:rPr>
          <w:rFonts w:hint="eastAsia" w:ascii="仿宋_GB2312" w:hAnsi="仿宋_GB2312" w:eastAsia="仿宋_GB2312" w:cs="仿宋_GB2312"/>
          <w:i w:val="0"/>
          <w:caps w:val="0"/>
          <w:color w:val="333333"/>
          <w:spacing w:val="0"/>
          <w:sz w:val="32"/>
          <w:szCs w:val="32"/>
          <w:highlight w:val="none"/>
        </w:rPr>
        <w:t>如对本报告有任何疑问，请与</w:t>
      </w:r>
      <w:r>
        <w:rPr>
          <w:rFonts w:hint="eastAsia" w:ascii="仿宋_GB2312" w:hAnsi="仿宋_GB2312" w:eastAsia="仿宋_GB2312" w:cs="仿宋_GB2312"/>
          <w:i w:val="0"/>
          <w:caps w:val="0"/>
          <w:color w:val="333333"/>
          <w:spacing w:val="0"/>
          <w:sz w:val="32"/>
          <w:szCs w:val="32"/>
          <w:highlight w:val="none"/>
          <w:lang w:val="en-US" w:eastAsia="zh-CN"/>
        </w:rPr>
        <w:t>三爪仑乡党政办公室</w:t>
      </w:r>
      <w:r>
        <w:rPr>
          <w:rFonts w:hint="eastAsia" w:ascii="仿宋_GB2312" w:hAnsi="仿宋_GB2312" w:eastAsia="仿宋_GB2312" w:cs="仿宋_GB2312"/>
          <w:i w:val="0"/>
          <w:caps w:val="0"/>
          <w:color w:val="333333"/>
          <w:spacing w:val="0"/>
          <w:sz w:val="32"/>
          <w:szCs w:val="32"/>
          <w:highlight w:val="none"/>
        </w:rPr>
        <w:t>联系（地址：</w:t>
      </w:r>
      <w:r>
        <w:rPr>
          <w:rFonts w:hint="eastAsia" w:ascii="仿宋_GB2312" w:hAnsi="仿宋_GB2312" w:eastAsia="仿宋_GB2312" w:cs="仿宋_GB2312"/>
          <w:i w:val="0"/>
          <w:caps w:val="0"/>
          <w:color w:val="333333"/>
          <w:spacing w:val="0"/>
          <w:sz w:val="32"/>
          <w:szCs w:val="32"/>
          <w:highlight w:val="none"/>
          <w:lang w:val="en-US" w:eastAsia="zh-CN"/>
        </w:rPr>
        <w:t>靖安县三爪仑乡三爪仑街25号</w:t>
      </w:r>
      <w:r>
        <w:rPr>
          <w:rFonts w:hint="eastAsia" w:ascii="仿宋_GB2312" w:hAnsi="仿宋_GB2312" w:eastAsia="仿宋_GB2312" w:cs="仿宋_GB2312"/>
          <w:i w:val="0"/>
          <w:caps w:val="0"/>
          <w:color w:val="333333"/>
          <w:spacing w:val="0"/>
          <w:sz w:val="32"/>
          <w:szCs w:val="32"/>
          <w:highlight w:val="none"/>
        </w:rPr>
        <w:t>，电话：</w:t>
      </w:r>
      <w:r>
        <w:rPr>
          <w:rFonts w:hint="eastAsia" w:ascii="仿宋_GB2312" w:hAnsi="仿宋_GB2312" w:eastAsia="仿宋_GB2312" w:cs="仿宋_GB2312"/>
          <w:i w:val="0"/>
          <w:caps w:val="0"/>
          <w:color w:val="333333"/>
          <w:spacing w:val="0"/>
          <w:sz w:val="32"/>
          <w:szCs w:val="32"/>
          <w:highlight w:val="none"/>
          <w:lang w:val="en-US" w:eastAsia="zh-CN"/>
        </w:rPr>
        <w:t>0795-4765101</w:t>
      </w:r>
      <w:r>
        <w:rPr>
          <w:rFonts w:hint="eastAsia" w:ascii="仿宋_GB2312" w:hAnsi="仿宋_GB2312" w:eastAsia="仿宋_GB2312" w:cs="仿宋_GB2312"/>
          <w:i w:val="0"/>
          <w:caps w:val="0"/>
          <w:color w:val="333333"/>
          <w:spacing w:val="0"/>
          <w:sz w:val="32"/>
          <w:szCs w:val="32"/>
          <w:highlight w:val="none"/>
        </w:rPr>
        <w:t>，邮编：</w:t>
      </w:r>
      <w:r>
        <w:rPr>
          <w:rFonts w:hint="eastAsia" w:ascii="仿宋_GB2312" w:hAnsi="仿宋_GB2312" w:eastAsia="仿宋_GB2312" w:cs="仿宋_GB2312"/>
          <w:i w:val="0"/>
          <w:caps w:val="0"/>
          <w:color w:val="333333"/>
          <w:spacing w:val="0"/>
          <w:sz w:val="32"/>
          <w:szCs w:val="32"/>
          <w:highlight w:val="none"/>
          <w:lang w:val="en-US" w:eastAsia="zh-CN"/>
        </w:rPr>
        <w:t>330608</w:t>
      </w:r>
      <w:r>
        <w:rPr>
          <w:rFonts w:hint="eastAsia" w:ascii="仿宋_GB2312" w:hAnsi="仿宋_GB2312" w:eastAsia="仿宋_GB2312" w:cs="仿宋_GB2312"/>
          <w:i w:val="0"/>
          <w:caps w:val="0"/>
          <w:color w:val="333333"/>
          <w:spacing w:val="0"/>
          <w:sz w:val="32"/>
          <w:szCs w:val="32"/>
          <w:highlight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lang w:eastAsia="zh-CN"/>
          <w14:textFill>
            <w14:solidFill>
              <w14:schemeClr w14:val="tx1"/>
            </w14:solidFill>
          </w14:textFill>
        </w:rPr>
        <w:t>一、</w:t>
      </w:r>
      <w:r>
        <w:rPr>
          <w:rFonts w:hint="eastAsia" w:ascii="黑体" w:hAnsi="黑体" w:eastAsia="黑体" w:cs="黑体"/>
          <w:i w:val="0"/>
          <w:iCs w:val="0"/>
          <w:caps w:val="0"/>
          <w:color w:val="000000" w:themeColor="text1"/>
          <w:spacing w:val="0"/>
          <w:sz w:val="32"/>
          <w:szCs w:val="32"/>
          <w14:textFill>
            <w14:solidFill>
              <w14:schemeClr w14:val="tx1"/>
            </w14:solidFill>
          </w14:textFill>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（一）主动公开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三爪仑乡</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高度重视政务公开工作，强化信息报送，</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截止202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年12月31日，</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三爪仑</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乡</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公共开各类信息</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102</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，其中工作动态</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74条，并</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及时公开了20</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20</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年财政执行情况和202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年财政预决算等。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（二）依申请公开情况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三爪仑乡</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未收到</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依申请公开</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事项</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（三）政府信息管理情况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三爪仑乡</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党政办负责政府信息管理</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安排专人进行政务公开，由</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办公室主任初审、</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分管领导</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复审</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后发布</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，细化公开内容，扩大公开范围。凡涉及公共利益、公众权益、社会关切及需要社会广泛知晓的文件，均按照依法全面、准确及时的原则做好公开工作，推进信息公开全覆盖</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（四）平台建设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三爪仑乡</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政府信息公开主要依托于靖安县人民政府信息公开网站（http://www.jxjaxzf.gov.cn/），</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同时在便民服务大厅设立政务公开专区，配备电脑、</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打印机</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等硬件设施，提供依申请公开表和文件信息查阅等服务，线上线下同时推进政府信息公开工作。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（五）监督保障情况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工作考核方面，靖安县将政务公开工作纳入202</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年度靖安县高质量发展考核评价，我</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乡</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积极配合考核工作。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我</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乡</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对社会评议方面采取积极态度，主动公开办公地址、联系方式、负责同志以及监督途径等信息，积极主动听取公众意见和建议。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责任追究结果情况方面，202</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年我</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乡</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未出现因信息公开不到位需要进行责任追究的情况。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i w:val="0"/>
          <w:caps w:val="0"/>
          <w:color w:val="000000"/>
          <w:spacing w:val="0"/>
          <w:kern w:val="0"/>
          <w:sz w:val="32"/>
          <w:szCs w:val="32"/>
          <w:lang w:val="en-US" w:eastAsia="zh-CN" w:bidi="ar"/>
        </w:rPr>
      </w:pPr>
      <w:r>
        <w:rPr>
          <w:rFonts w:hint="eastAsia" w:ascii="仿宋_GB2312" w:hAnsi="仿宋_GB2312" w:eastAsia="仿宋_GB2312" w:cs="仿宋_GB2312"/>
          <w:b/>
          <w:i w:val="0"/>
          <w:caps w:val="0"/>
          <w:color w:val="000000"/>
          <w:spacing w:val="0"/>
          <w:kern w:val="0"/>
          <w:sz w:val="32"/>
          <w:szCs w:val="32"/>
          <w:lang w:val="en-US" w:eastAsia="zh-CN" w:bidi="ar"/>
        </w:rPr>
        <w:t>二、主动公开政府信息情况</w:t>
      </w:r>
    </w:p>
    <w:tbl>
      <w:tblPr>
        <w:tblStyle w:val="3"/>
        <w:tblW w:w="9740" w:type="dxa"/>
        <w:jc w:val="center"/>
        <w:tblInd w:w="-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w:t>
            </w:r>
            <w:r>
              <w:rPr>
                <w:rFonts w:ascii="Calibri" w:hAnsi="Calibri" w:cs="Calibri" w:eastAsiaTheme="minorEastAsia"/>
                <w:color w:val="000000"/>
                <w:kern w:val="0"/>
                <w:sz w:val="20"/>
                <w:szCs w:val="20"/>
                <w:lang w:val="en-US" w:eastAsia="zh-CN" w:bidi="ar"/>
              </w:rPr>
              <w:t>制</w:t>
            </w:r>
            <w:r>
              <w:rPr>
                <w:rFonts w:hint="eastAsia" w:ascii="宋体" w:hAnsi="宋体" w:eastAsia="宋体" w:cs="宋体"/>
                <w:color w:val="000000"/>
                <w:kern w:val="0"/>
                <w:sz w:val="20"/>
                <w:szCs w:val="20"/>
                <w:lang w:val="en-US" w:eastAsia="zh-CN" w:bidi="ar"/>
              </w:rPr>
              <w:t>发件</w:t>
            </w:r>
            <w:r>
              <w:rPr>
                <w:rFonts w:hint="default" w:ascii="Calibri" w:hAnsi="Calibri" w:cs="Calibri" w:eastAsiaTheme="minorEastAsia"/>
                <w:color w:val="000000"/>
                <w:kern w:val="0"/>
                <w:sz w:val="20"/>
                <w:szCs w:val="20"/>
                <w:lang w:val="en-US" w:eastAsia="zh-CN" w:bidi="ar"/>
              </w:rPr>
              <w:t>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现行有效件</w:t>
            </w:r>
            <w:r>
              <w:rPr>
                <w:rFonts w:hint="default" w:ascii="Calibri" w:hAnsi="Calibri" w:cs="Calibri" w:eastAsiaTheme="minorEastAsia"/>
                <w:color w:val="00000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rPr>
                <w:rFonts w:hint="eastAsia" w:ascii="宋体" w:eastAsia="宋体"/>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三、收到和处理政府信息公开申请情况</w:t>
      </w:r>
    </w:p>
    <w:tbl>
      <w:tblPr>
        <w:tblStyle w:val="3"/>
        <w:tblW w:w="9748" w:type="dxa"/>
        <w:jc w:val="center"/>
        <w:tblInd w:w="-61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70"/>
        <w:gridCol w:w="945"/>
        <w:gridCol w:w="3241"/>
        <w:gridCol w:w="691"/>
        <w:gridCol w:w="691"/>
        <w:gridCol w:w="691"/>
        <w:gridCol w:w="691"/>
        <w:gridCol w:w="691"/>
        <w:gridCol w:w="691"/>
        <w:gridCol w:w="6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4956" w:type="dxa"/>
            <w:gridSpan w:val="3"/>
            <w:vMerge w:val="restart"/>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ascii="楷体" w:hAnsi="楷体" w:eastAsia="楷体" w:cs="楷体"/>
                <w:color w:val="000000"/>
                <w:kern w:val="0"/>
                <w:sz w:val="20"/>
                <w:szCs w:val="20"/>
                <w:lang w:val="en-US" w:eastAsia="zh-CN" w:bidi="ar"/>
              </w:rPr>
              <w:t>（本列数据的勾稽关系为：第一项加第二项之和，等于第三项加第四项之和）</w:t>
            </w:r>
          </w:p>
        </w:tc>
        <w:tc>
          <w:tcPr>
            <w:tcW w:w="4792" w:type="dxa"/>
            <w:gridSpan w:val="7"/>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91" w:type="dxa"/>
            <w:vMerge w:val="restar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自然人</w:t>
            </w:r>
          </w:p>
        </w:tc>
        <w:tc>
          <w:tcPr>
            <w:tcW w:w="3455" w:type="dxa"/>
            <w:gridSpan w:val="5"/>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法人或其他组织</w:t>
            </w:r>
          </w:p>
        </w:tc>
        <w:tc>
          <w:tcPr>
            <w:tcW w:w="646" w:type="dxa"/>
            <w:vMerge w:val="restart"/>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91" w:type="dxa"/>
            <w:vMerge w:val="continue"/>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企业</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机构</w:t>
            </w:r>
          </w:p>
        </w:tc>
        <w:tc>
          <w:tcPr>
            <w:tcW w:w="691"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社会公益组织</w:t>
            </w:r>
          </w:p>
        </w:tc>
        <w:tc>
          <w:tcPr>
            <w:tcW w:w="691"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法律服务机构</w:t>
            </w:r>
          </w:p>
        </w:tc>
        <w:tc>
          <w:tcPr>
            <w:tcW w:w="691"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w:t>
            </w:r>
          </w:p>
        </w:tc>
        <w:tc>
          <w:tcPr>
            <w:tcW w:w="646" w:type="dxa"/>
            <w:vMerge w:val="continue"/>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56"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56"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restart"/>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三、本年度办理结果</w:t>
            </w:r>
          </w:p>
        </w:tc>
        <w:tc>
          <w:tcPr>
            <w:tcW w:w="4186"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（一）予以公开</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186"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（二）部分公开</w:t>
            </w:r>
            <w:r>
              <w:rPr>
                <w:rFonts w:hint="eastAsia" w:ascii="楷体" w:hAnsi="楷体" w:eastAsia="楷体" w:cs="楷体"/>
                <w:color w:val="000000"/>
                <w:kern w:val="0"/>
                <w:sz w:val="20"/>
                <w:szCs w:val="20"/>
                <w:lang w:val="en-US" w:eastAsia="zh-CN" w:bidi="ar"/>
              </w:rPr>
              <w:t>（区分处理的，只计这一情形，不计其他情形）</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（三）不予公开</w:t>
            </w: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1.属于国家秘密</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3.危及“三安全一稳定”</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7.属于行政执法案卷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8.属于行政查询事项</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（四）无法提供</w:t>
            </w: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（五）不予处理</w:t>
            </w: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2.重复申请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79" w:hRule="atLeast"/>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restart"/>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（六）其他处理</w:t>
            </w: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3.其他</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186"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（七）总计</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56"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rPr>
                <w:rFonts w:hint="eastAsia" w:ascii="宋体" w:eastAsia="宋体"/>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四、政府信息公开行政复议、行政诉讼情况</w:t>
      </w:r>
    </w:p>
    <w:tbl>
      <w:tblPr>
        <w:tblStyle w:val="3"/>
        <w:tblW w:w="10940" w:type="dxa"/>
        <w:jc w:val="center"/>
        <w:tblInd w:w="-120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16"/>
        <w:gridCol w:w="816"/>
        <w:gridCol w:w="816"/>
        <w:gridCol w:w="816"/>
        <w:gridCol w:w="516"/>
        <w:gridCol w:w="816"/>
        <w:gridCol w:w="816"/>
        <w:gridCol w:w="816"/>
        <w:gridCol w:w="816"/>
        <w:gridCol w:w="516"/>
        <w:gridCol w:w="816"/>
        <w:gridCol w:w="816"/>
        <w:gridCol w:w="816"/>
        <w:gridCol w:w="816"/>
        <w:gridCol w:w="4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348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行政复议</w:t>
            </w:r>
          </w:p>
        </w:tc>
        <w:tc>
          <w:tcPr>
            <w:tcW w:w="7460" w:type="dxa"/>
            <w:gridSpan w:val="10"/>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1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结果维持</w:t>
            </w:r>
          </w:p>
        </w:tc>
        <w:tc>
          <w:tcPr>
            <w:tcW w:w="81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816"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816"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516"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378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68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16"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16"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516"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维持</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5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维持</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4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72" w:hRule="atLeast"/>
          <w:jc w:val="center"/>
        </w:trPr>
        <w:tc>
          <w:tcPr>
            <w:tcW w:w="5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ascii="黑体" w:hAnsi="宋体" w:eastAsia="黑体" w:cs="黑体"/>
                <w:color w:val="000000"/>
                <w:kern w:val="0"/>
                <w:sz w:val="20"/>
                <w:szCs w:val="20"/>
                <w:lang w:val="en-US" w:eastAsia="zh-CN" w:bidi="ar"/>
              </w:rPr>
              <w:t> </w:t>
            </w:r>
            <w:r>
              <w:rPr>
                <w:rFonts w:hint="eastAsia" w:ascii="黑体" w:hAnsi="宋体" w:eastAsia="黑体" w:cs="黑体"/>
                <w:color w:val="000000"/>
                <w:kern w:val="0"/>
                <w:sz w:val="20"/>
                <w:szCs w:val="20"/>
                <w:lang w:val="en-US" w:eastAsia="zh-CN" w:bidi="ar"/>
              </w:rPr>
              <w:t>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5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5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4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eastAsia="宋体"/>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的来看，2021年三爪仑乡在推进政务公开工作方面取得了一些成效，但还存在一些不足，主要表现在：一是部分政府信息公开不够及时；二是个别栏目更新数量过少，栏目内容较旧；三是政策解读工作不及时、不到位，解读方式单一，效果不明显等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针对当前工作中存在的问题，下一步我们将重点抓好以下几个方面工作：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集中组织开展政府信息公开工作培训，加强政务信息公开工作的队伍建设，提高从业人员执业水平，总结吸取优秀科学的工作经验，继续建设公开透明信息平台，切实保障广大人民群众的知情权、参与权、监督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（二）创新政务公开工作形式，充分发挥广播、宣传栏、网络等媒体作用，进一步扩大覆盖面，增强实效性。规范公开栏目，完善公开内容。结合乡党委、政府的中心工作，选取热点问题，深化公开内容。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（三）提高对政务信息公开重要性的认识，加强时间观念，做到信息及时更新，强化多部门协作，夯实责任，使政务信息公开内容更加丰富、全面。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both"/>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我乡今年未发生收取信息处理费的情况。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本年度无其他需要报告的事项。</w:t>
      </w:r>
    </w:p>
    <w:p>
      <w:pPr>
        <w:ind w:firstLine="640" w:firstLineChars="200"/>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p>
    <w:p>
      <w:pPr>
        <w:ind w:firstLine="640" w:firstLineChars="200"/>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sz w:val="32"/>
          <w:szCs w:val="32"/>
          <w:lang w:val="en-US" w:eastAsia="zh-CN"/>
        </w:rPr>
        <w:t xml:space="preserve">  三爪仑乡人民政府</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1263E"/>
    <w:rsid w:val="1901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2023-01-19T00:43:00Z</dcterms:created>
  <dc:creator>Administrator</dc:creator>
  <cp:lastModifiedBy>Administrator</cp:lastModifiedBy>
  <dcterms:modified xsi:type="dcterms:W3CDTF">2023-01-19T00:55:36Z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