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uto"/>
        <w:ind w:left="0" w:right="0"/>
        <w:jc w:val="center"/>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rPr>
        <w:t>靖安县2021年政府信息公开工作年度报告</w:t>
      </w:r>
    </w:p>
    <w:p>
      <w:pPr>
        <w:pStyle w:val="3"/>
        <w:keepNext w:val="0"/>
        <w:keepLines w:val="0"/>
        <w:widowControl/>
        <w:suppressLineNumbers w:val="0"/>
        <w:spacing w:before="106" w:beforeAutospacing="0" w:after="106" w:afterAutospacing="0" w:line="555" w:lineRule="atLeast"/>
        <w:ind w:left="0" w:right="0" w:firstLine="645"/>
        <w:jc w:val="both"/>
        <w:rPr>
          <w:rFonts w:ascii="Calibri" w:hAnsi="Calibri" w:eastAsia="Calibri" w:cs="Calibri"/>
          <w:sz w:val="24"/>
          <w:szCs w:val="24"/>
        </w:rPr>
      </w:pPr>
      <w:r>
        <w:rPr>
          <w:rFonts w:ascii="仿宋_GB2312" w:hAnsi="仿宋_GB2312" w:eastAsia="仿宋_GB2312" w:cs="仿宋_GB2312"/>
          <w:sz w:val="31"/>
          <w:szCs w:val="31"/>
        </w:rPr>
        <w:t>本报告依据</w:t>
      </w:r>
      <w:r>
        <w:rPr>
          <w:rFonts w:hint="eastAsia" w:ascii="仿宋_GB2312" w:hAnsi="仿宋_GB2312" w:eastAsia="仿宋_GB2312" w:cs="仿宋_GB2312"/>
          <w:sz w:val="31"/>
          <w:szCs w:val="31"/>
        </w:rPr>
        <w:t>《中华人民共和国政府信息公开条例》（国务院令第711号，以下简称新《条例》）和《国务院办公厅政府信息与政务公开办公室关于印发</w:t>
      </w:r>
      <w:r>
        <w:rPr>
          <w:rFonts w:ascii="仿宋_GB2312" w:hAnsi="Calibri" w:eastAsia="仿宋_GB2312" w:cs="仿宋_GB2312"/>
          <w:sz w:val="31"/>
          <w:szCs w:val="31"/>
        </w:rPr>
        <w:t>&lt;</w:t>
      </w:r>
      <w:r>
        <w:rPr>
          <w:rFonts w:hint="eastAsia" w:ascii="仿宋_GB2312" w:hAnsi="仿宋_GB2312" w:eastAsia="仿宋_GB2312" w:cs="仿宋_GB2312"/>
          <w:sz w:val="31"/>
          <w:szCs w:val="31"/>
        </w:rPr>
        <w:t>中华人民共和国政府信息公开工作年度报告格式</w:t>
      </w:r>
      <w:r>
        <w:rPr>
          <w:rFonts w:hint="eastAsia" w:ascii="仿宋_GB2312" w:hAnsi="Calibri" w:eastAsia="仿宋_GB2312" w:cs="仿宋_GB2312"/>
          <w:sz w:val="31"/>
          <w:szCs w:val="31"/>
        </w:rPr>
        <w:t>&gt;</w:t>
      </w:r>
      <w:r>
        <w:rPr>
          <w:rFonts w:hint="eastAsia" w:ascii="仿宋_GB2312" w:hAnsi="仿宋_GB2312" w:eastAsia="仿宋_GB2312" w:cs="仿宋_GB2312"/>
          <w:sz w:val="31"/>
          <w:szCs w:val="31"/>
        </w:rPr>
        <w:t>的通知》（国办公开办函〔2021〕30号）要求，由靖安县人民政府办公室结合有关统计数据编制。本年度报告中所列数据的统计期限自202</w:t>
      </w:r>
      <w:r>
        <w:rPr>
          <w:rFonts w:hint="eastAsia" w:ascii="仿宋_GB2312" w:hAnsi="Calibri" w:eastAsia="仿宋_GB2312" w:cs="仿宋_GB2312"/>
          <w:sz w:val="31"/>
          <w:szCs w:val="31"/>
        </w:rPr>
        <w:t>1</w:t>
      </w:r>
      <w:r>
        <w:rPr>
          <w:rFonts w:hint="eastAsia" w:ascii="仿宋_GB2312" w:hAnsi="仿宋_GB2312" w:eastAsia="仿宋_GB2312" w:cs="仿宋_GB2312"/>
          <w:sz w:val="31"/>
          <w:szCs w:val="31"/>
        </w:rPr>
        <w:t>年1月1日起至202</w:t>
      </w:r>
      <w:r>
        <w:rPr>
          <w:rFonts w:hint="eastAsia" w:ascii="仿宋_GB2312" w:hAnsi="Calibri" w:eastAsia="仿宋_GB2312" w:cs="仿宋_GB2312"/>
          <w:sz w:val="31"/>
          <w:szCs w:val="31"/>
        </w:rPr>
        <w:t>1</w:t>
      </w:r>
      <w:r>
        <w:rPr>
          <w:rFonts w:hint="eastAsia" w:ascii="仿宋_GB2312" w:hAnsi="仿宋_GB2312" w:eastAsia="仿宋_GB2312" w:cs="仿宋_GB2312"/>
          <w:sz w:val="31"/>
          <w:szCs w:val="31"/>
        </w:rPr>
        <w:t>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www.jxjaxzf.gov.cn）下载。如对本报告有任何疑问，请与靖安县人民政府办公室联系（地址：江西省宜春市靖安县双溪镇新大街1号，联系电话：0795</w:t>
      </w:r>
      <w:r>
        <w:rPr>
          <w:rFonts w:hint="eastAsia" w:ascii="仿宋_GB2312" w:hAnsi="Calibri" w:eastAsia="仿宋_GB2312" w:cs="仿宋_GB2312"/>
          <w:sz w:val="31"/>
          <w:szCs w:val="31"/>
        </w:rPr>
        <w:t>—4662133）。</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Fonts w:ascii="黑体" w:hAnsi="宋体" w:eastAsia="黑体" w:cs="黑体"/>
          <w:sz w:val="31"/>
          <w:szCs w:val="31"/>
          <w:shd w:val="clear" w:fill="FFFFFF"/>
        </w:rPr>
        <w:t>一、总体情况</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4"/>
          <w:szCs w:val="24"/>
        </w:rPr>
      </w:pPr>
      <w:r>
        <w:rPr>
          <w:rFonts w:hint="eastAsia" w:ascii="仿宋_GB2312" w:hAnsi="Calibri" w:eastAsia="仿宋_GB2312" w:cs="仿宋_GB2312"/>
          <w:sz w:val="31"/>
          <w:szCs w:val="31"/>
          <w:shd w:val="clear" w:fill="FFFFFF"/>
        </w:rPr>
        <w:t>2021</w:t>
      </w:r>
      <w:r>
        <w:rPr>
          <w:rFonts w:hint="eastAsia" w:ascii="仿宋_GB2312" w:hAnsi="仿宋_GB2312" w:eastAsia="仿宋_GB2312" w:cs="仿宋_GB2312"/>
          <w:sz w:val="31"/>
          <w:szCs w:val="31"/>
          <w:shd w:val="clear" w:fill="FFFFFF"/>
        </w:rPr>
        <w:t>年靖安县坚持以习近平新时代中国特色社会主义思想为指导，深入贯彻党的十九大和十九届二中、三中、四中、五中、六中全会精神，严格落实《国务院办公厅关于印发202</w:t>
      </w:r>
      <w:r>
        <w:rPr>
          <w:rFonts w:hint="eastAsia" w:ascii="仿宋_GB2312" w:hAnsi="Calibri" w:eastAsia="仿宋_GB2312" w:cs="仿宋_GB2312"/>
          <w:sz w:val="31"/>
          <w:szCs w:val="31"/>
          <w:shd w:val="clear" w:fill="FFFFFF"/>
        </w:rPr>
        <w:t>1</w:t>
      </w:r>
      <w:r>
        <w:rPr>
          <w:rFonts w:hint="eastAsia" w:ascii="仿宋_GB2312" w:hAnsi="仿宋_GB2312" w:eastAsia="仿宋_GB2312" w:cs="仿宋_GB2312"/>
          <w:sz w:val="31"/>
          <w:szCs w:val="31"/>
          <w:shd w:val="clear" w:fill="FFFFFF"/>
        </w:rPr>
        <w:t>年政务公开工作要点的通知》（国办发〔202</w:t>
      </w:r>
      <w:r>
        <w:rPr>
          <w:rFonts w:hint="eastAsia" w:ascii="仿宋_GB2312" w:hAnsi="Calibri" w:eastAsia="仿宋_GB2312" w:cs="仿宋_GB2312"/>
          <w:sz w:val="31"/>
          <w:szCs w:val="31"/>
          <w:shd w:val="clear" w:fill="FFFFFF"/>
        </w:rPr>
        <w:t>1</w:t>
      </w:r>
      <w:r>
        <w:rPr>
          <w:rFonts w:hint="eastAsia" w:ascii="仿宋_GB2312" w:hAnsi="仿宋_GB2312" w:eastAsia="仿宋_GB2312" w:cs="仿宋_GB2312"/>
          <w:sz w:val="31"/>
          <w:szCs w:val="31"/>
          <w:shd w:val="clear" w:fill="FFFFFF"/>
        </w:rPr>
        <w:t>〕1</w:t>
      </w:r>
      <w:r>
        <w:rPr>
          <w:rFonts w:hint="eastAsia" w:ascii="仿宋_GB2312" w:hAnsi="Calibri" w:eastAsia="仿宋_GB2312" w:cs="仿宋_GB2312"/>
          <w:sz w:val="31"/>
          <w:szCs w:val="31"/>
          <w:shd w:val="clear" w:fill="FFFFFF"/>
        </w:rPr>
        <w:t>2</w:t>
      </w:r>
      <w:r>
        <w:rPr>
          <w:rFonts w:hint="eastAsia" w:ascii="仿宋_GB2312" w:hAnsi="仿宋_GB2312" w:eastAsia="仿宋_GB2312" w:cs="仿宋_GB2312"/>
          <w:sz w:val="31"/>
          <w:szCs w:val="31"/>
          <w:shd w:val="clear" w:fill="FFFFFF"/>
        </w:rPr>
        <w:t>号）的要求。同时积极对照《江西省人民政府办公厅关于印发</w:t>
      </w:r>
      <w:r>
        <w:rPr>
          <w:rFonts w:hint="eastAsia" w:ascii="仿宋_GB2312" w:hAnsi="Calibri" w:eastAsia="仿宋_GB2312" w:cs="仿宋_GB2312"/>
          <w:sz w:val="31"/>
          <w:szCs w:val="31"/>
          <w:shd w:val="clear" w:fill="FFFFFF"/>
        </w:rPr>
        <w:t>2021</w:t>
      </w:r>
      <w:r>
        <w:rPr>
          <w:rFonts w:hint="eastAsia" w:ascii="仿宋_GB2312" w:hAnsi="仿宋_GB2312" w:eastAsia="仿宋_GB2312" w:cs="仿宋_GB2312"/>
          <w:sz w:val="31"/>
          <w:szCs w:val="31"/>
          <w:shd w:val="clear" w:fill="FFFFFF"/>
        </w:rPr>
        <w:t>年江西省政务公开工作方案的通知》（赣府厅字〔202</w:t>
      </w:r>
      <w:r>
        <w:rPr>
          <w:rFonts w:hint="eastAsia" w:ascii="仿宋_GB2312" w:hAnsi="Calibri" w:eastAsia="仿宋_GB2312" w:cs="仿宋_GB2312"/>
          <w:sz w:val="31"/>
          <w:szCs w:val="31"/>
          <w:shd w:val="clear" w:fill="FFFFFF"/>
        </w:rPr>
        <w:t>1</w:t>
      </w:r>
      <w:r>
        <w:rPr>
          <w:rFonts w:hint="eastAsia" w:ascii="仿宋_GB2312" w:hAnsi="仿宋_GB2312" w:eastAsia="仿宋_GB2312" w:cs="仿宋_GB2312"/>
          <w:sz w:val="31"/>
          <w:szCs w:val="31"/>
          <w:shd w:val="clear" w:fill="FFFFFF"/>
        </w:rPr>
        <w:t>〕</w:t>
      </w:r>
      <w:r>
        <w:rPr>
          <w:rFonts w:hint="eastAsia" w:ascii="仿宋_GB2312" w:hAnsi="Calibri" w:eastAsia="仿宋_GB2312" w:cs="仿宋_GB2312"/>
          <w:sz w:val="31"/>
          <w:szCs w:val="31"/>
          <w:shd w:val="clear" w:fill="FFFFFF"/>
        </w:rPr>
        <w:t>30</w:t>
      </w:r>
      <w:r>
        <w:rPr>
          <w:rFonts w:hint="eastAsia" w:ascii="仿宋_GB2312" w:hAnsi="仿宋_GB2312" w:eastAsia="仿宋_GB2312" w:cs="仿宋_GB2312"/>
          <w:sz w:val="31"/>
          <w:szCs w:val="31"/>
          <w:shd w:val="clear" w:fill="FFFFFF"/>
        </w:rPr>
        <w:t>号）和《宜春市人民政府办公室印发关于</w:t>
      </w:r>
      <w:r>
        <w:rPr>
          <w:rFonts w:hint="eastAsia" w:ascii="仿宋_GB2312" w:hAnsi="Calibri" w:eastAsia="仿宋_GB2312" w:cs="仿宋_GB2312"/>
          <w:sz w:val="31"/>
          <w:szCs w:val="31"/>
          <w:shd w:val="clear" w:fill="FFFFFF"/>
        </w:rPr>
        <w:t>2021</w:t>
      </w:r>
      <w:r>
        <w:rPr>
          <w:rFonts w:hint="eastAsia" w:ascii="仿宋_GB2312" w:hAnsi="仿宋_GB2312" w:eastAsia="仿宋_GB2312" w:cs="仿宋_GB2312"/>
          <w:sz w:val="31"/>
          <w:szCs w:val="31"/>
          <w:shd w:val="clear" w:fill="FFFFFF"/>
        </w:rPr>
        <w:t>年宜春市政务公开工作要点的通知》（宜府办字〔202</w:t>
      </w:r>
      <w:r>
        <w:rPr>
          <w:rFonts w:hint="eastAsia" w:ascii="仿宋_GB2312" w:hAnsi="Calibri" w:eastAsia="仿宋_GB2312" w:cs="仿宋_GB2312"/>
          <w:sz w:val="31"/>
          <w:szCs w:val="31"/>
          <w:shd w:val="clear" w:fill="FFFFFF"/>
        </w:rPr>
        <w:t>1</w:t>
      </w:r>
      <w:r>
        <w:rPr>
          <w:rFonts w:hint="eastAsia" w:ascii="仿宋_GB2312" w:hAnsi="仿宋_GB2312" w:eastAsia="仿宋_GB2312" w:cs="仿宋_GB2312"/>
          <w:sz w:val="31"/>
          <w:szCs w:val="31"/>
          <w:shd w:val="clear" w:fill="FFFFFF"/>
        </w:rPr>
        <w:t>〕</w:t>
      </w:r>
      <w:r>
        <w:rPr>
          <w:rFonts w:hint="eastAsia" w:ascii="仿宋_GB2312" w:hAnsi="Calibri" w:eastAsia="仿宋_GB2312" w:cs="仿宋_GB2312"/>
          <w:sz w:val="31"/>
          <w:szCs w:val="31"/>
          <w:shd w:val="clear" w:fill="FFFFFF"/>
        </w:rPr>
        <w:t>33</w:t>
      </w:r>
      <w:r>
        <w:rPr>
          <w:rFonts w:hint="eastAsia" w:ascii="仿宋_GB2312" w:hAnsi="仿宋_GB2312" w:eastAsia="仿宋_GB2312" w:cs="仿宋_GB2312"/>
          <w:sz w:val="31"/>
          <w:szCs w:val="31"/>
          <w:shd w:val="clear" w:fill="FFFFFF"/>
        </w:rPr>
        <w:t>号）等文件要求，明确目标任务，增强工作实效。</w:t>
      </w:r>
    </w:p>
    <w:p>
      <w:pPr>
        <w:pStyle w:val="3"/>
        <w:keepNext w:val="0"/>
        <w:keepLines w:val="0"/>
        <w:widowControl/>
        <w:suppressLineNumbers w:val="0"/>
        <w:spacing w:before="0" w:beforeAutospacing="0" w:after="0" w:afterAutospacing="0" w:line="555" w:lineRule="atLeast"/>
        <w:ind w:left="0" w:right="0" w:firstLine="645"/>
        <w:jc w:val="both"/>
        <w:rPr>
          <w:rFonts w:hint="default" w:ascii="Calibri" w:hAnsi="Calibri" w:eastAsia="Calibri" w:cs="Calibri"/>
          <w:sz w:val="24"/>
          <w:szCs w:val="24"/>
        </w:rPr>
      </w:pPr>
      <w:r>
        <w:rPr>
          <w:rStyle w:val="6"/>
          <w:rFonts w:ascii="楷体_GB2312" w:hAnsi="楷体_GB2312" w:eastAsia="楷体_GB2312" w:cs="楷体_GB2312"/>
          <w:sz w:val="31"/>
          <w:szCs w:val="31"/>
        </w:rPr>
        <w:t>（一）主动公开</w:t>
      </w:r>
    </w:p>
    <w:p>
      <w:pPr>
        <w:pStyle w:val="3"/>
        <w:keepNext w:val="0"/>
        <w:keepLines w:val="0"/>
        <w:widowControl/>
        <w:suppressLineNumbers w:val="0"/>
        <w:spacing w:before="0" w:beforeAutospacing="0" w:after="0" w:afterAutospacing="0" w:line="555" w:lineRule="atLeast"/>
        <w:ind w:left="0" w:right="0" w:firstLine="645"/>
        <w:rPr>
          <w:rFonts w:hint="default" w:ascii="Calibri" w:hAnsi="Calibri" w:eastAsia="Calibri" w:cs="Calibri"/>
          <w:sz w:val="21"/>
          <w:szCs w:val="21"/>
        </w:rPr>
      </w:pPr>
      <w:r>
        <w:rPr>
          <w:rFonts w:hint="eastAsia" w:ascii="仿宋_GB2312" w:hAnsi="仿宋_GB2312" w:eastAsia="仿宋_GB2312" w:cs="仿宋_GB2312"/>
          <w:sz w:val="31"/>
          <w:szCs w:val="31"/>
        </w:rPr>
        <w:t>靖安县以《202</w:t>
      </w:r>
      <w:r>
        <w:rPr>
          <w:rFonts w:hint="eastAsia" w:ascii="仿宋_GB2312" w:hAnsi="Calibri" w:eastAsia="仿宋_GB2312" w:cs="仿宋_GB2312"/>
          <w:sz w:val="31"/>
          <w:szCs w:val="31"/>
        </w:rPr>
        <w:t>1</w:t>
      </w:r>
      <w:r>
        <w:rPr>
          <w:rFonts w:hint="eastAsia" w:ascii="仿宋_GB2312" w:hAnsi="仿宋_GB2312" w:eastAsia="仿宋_GB2312" w:cs="仿宋_GB2312"/>
          <w:sz w:val="31"/>
          <w:szCs w:val="31"/>
        </w:rPr>
        <w:t>年宜春市政务公开工作要点》为指引，严格落实政府信息公开“新条例”要求，下发了《靖安县</w:t>
      </w:r>
      <w:r>
        <w:rPr>
          <w:rFonts w:hint="eastAsia" w:ascii="仿宋_GB2312" w:hAnsi="Calibri" w:eastAsia="仿宋_GB2312" w:cs="仿宋_GB2312"/>
          <w:sz w:val="31"/>
          <w:szCs w:val="31"/>
        </w:rPr>
        <w:t>人民政府办公室关于</w:t>
      </w:r>
      <w:r>
        <w:rPr>
          <w:rFonts w:hint="eastAsia" w:ascii="仿宋_GB2312" w:hAnsi="仿宋_GB2312" w:eastAsia="仿宋_GB2312" w:cs="仿宋_GB2312"/>
          <w:sz w:val="31"/>
          <w:szCs w:val="31"/>
        </w:rPr>
        <w:t>印发</w:t>
      </w:r>
      <w:r>
        <w:rPr>
          <w:rFonts w:hint="eastAsia" w:ascii="仿宋_GB2312" w:hAnsi="Calibri" w:eastAsia="仿宋_GB2312" w:cs="仿宋_GB2312"/>
          <w:sz w:val="31"/>
          <w:szCs w:val="31"/>
        </w:rPr>
        <w:t>2021年靖安县政务公开工作要点的通知</w:t>
      </w:r>
      <w:r>
        <w:rPr>
          <w:rFonts w:hint="eastAsia" w:ascii="仿宋_GB2312" w:hAnsi="仿宋_GB2312" w:eastAsia="仿宋_GB2312" w:cs="仿宋_GB2312"/>
          <w:sz w:val="31"/>
          <w:szCs w:val="31"/>
        </w:rPr>
        <w:t>》（靖府办字</w:t>
      </w:r>
      <w:r>
        <w:rPr>
          <w:rFonts w:hint="eastAsia" w:ascii="仿宋_GB2312" w:hAnsi="仿宋_GB2312" w:eastAsia="仿宋_GB2312" w:cs="仿宋_GB2312"/>
          <w:sz w:val="31"/>
          <w:szCs w:val="31"/>
          <w:shd w:val="clear" w:fill="FFFFFF"/>
        </w:rPr>
        <w:t>〔202</w:t>
      </w:r>
      <w:r>
        <w:rPr>
          <w:rFonts w:hint="eastAsia" w:ascii="仿宋_GB2312" w:hAnsi="Calibri" w:eastAsia="仿宋_GB2312" w:cs="仿宋_GB2312"/>
          <w:sz w:val="31"/>
          <w:szCs w:val="31"/>
          <w:shd w:val="clear" w:fill="FFFFFF"/>
        </w:rPr>
        <w:t>1</w:t>
      </w:r>
      <w:r>
        <w:rPr>
          <w:rFonts w:hint="eastAsia" w:ascii="仿宋_GB2312" w:hAnsi="仿宋_GB2312" w:eastAsia="仿宋_GB2312" w:cs="仿宋_GB2312"/>
          <w:sz w:val="31"/>
          <w:szCs w:val="31"/>
          <w:shd w:val="clear" w:fill="FFFFFF"/>
        </w:rPr>
        <w:t>〕</w:t>
      </w:r>
      <w:r>
        <w:rPr>
          <w:rFonts w:hint="eastAsia" w:ascii="仿宋_GB2312" w:hAnsi="Calibri" w:eastAsia="仿宋_GB2312" w:cs="仿宋_GB2312"/>
          <w:sz w:val="31"/>
          <w:szCs w:val="31"/>
          <w:shd w:val="clear" w:fill="FFFFFF"/>
        </w:rPr>
        <w:t>42</w:t>
      </w:r>
      <w:r>
        <w:rPr>
          <w:rFonts w:hint="eastAsia" w:ascii="仿宋_GB2312" w:hAnsi="仿宋_GB2312" w:eastAsia="仿宋_GB2312" w:cs="仿宋_GB2312"/>
          <w:sz w:val="31"/>
          <w:szCs w:val="31"/>
          <w:shd w:val="clear" w:fill="FFFFFF"/>
        </w:rPr>
        <w:t>号</w:t>
      </w:r>
      <w:r>
        <w:rPr>
          <w:rFonts w:hint="eastAsia" w:ascii="仿宋_GB2312" w:hAnsi="仿宋_GB2312" w:eastAsia="仿宋_GB2312" w:cs="仿宋_GB2312"/>
          <w:sz w:val="31"/>
          <w:szCs w:val="31"/>
        </w:rPr>
        <w:t>）等文件。持续推进“五公开”各项工作内容，切实保障了公众的知情权、参与权和监督权；做好重大决策预公开，采用意见征集、走访调研、座谈会和听证会多种形式，征求各方意见，进一步推进我县科学决策；加强政策解读质量，单位负责同志积极解读群众关注度较高的政策，采用文字解读、图文解读和视频解读等多种方式解读政策文件，让群众愿意看、看得懂；及时准确公开考录招聘信息，包括招考公告、入围名单和拟录用人员公示等全流程信息；细化重点领域信息公开范围，环境保护栏目增加大气污染防治、水污染防治、土壤污染防治、自然生态保护、环境质量监测、饮用水水源水质信息和其他有关信息等</w:t>
      </w:r>
      <w:r>
        <w:rPr>
          <w:rFonts w:hint="eastAsia" w:ascii="仿宋_GB2312" w:hAnsi="Calibri" w:eastAsia="仿宋_GB2312" w:cs="仿宋_GB2312"/>
          <w:sz w:val="31"/>
          <w:szCs w:val="31"/>
        </w:rPr>
        <w:t>7个子栏目，信息发布更准确，公共监督栏目增加市场规则标准和监管执法信息栏目，及时公开政策标准及工作推进落实信息，保障群众的知情权和监督权</w:t>
      </w:r>
      <w:r>
        <w:rPr>
          <w:rFonts w:hint="eastAsia" w:ascii="仿宋_GB2312" w:hAnsi="仿宋_GB2312" w:eastAsia="仿宋_GB2312" w:cs="仿宋_GB2312"/>
          <w:sz w:val="31"/>
          <w:szCs w:val="31"/>
        </w:rPr>
        <w:t>；持续推进基层政务公开标准化规范化工作，聚焦企业群众办事堵点难点问题，推行个人和企业全生命周期高频服务事项公开，将个人方面涉及生育、教育、就业、婚姻等63个高频事项和企业方面涉及开办、建设、运营等93个高频事项，采取线上+线下方式，在县政务平台和政务大厅开设专区查询办理，帮助企业群众快捷办理各类事项，提高办事效率，该经验做法于12月17日被江西二套“聚焦放管服、曝光怕慢假庸散”栏目正面报道。</w:t>
      </w:r>
    </w:p>
    <w:p>
      <w:pPr>
        <w:pStyle w:val="3"/>
        <w:keepNext w:val="0"/>
        <w:keepLines w:val="0"/>
        <w:widowControl/>
        <w:suppressLineNumbers w:val="0"/>
        <w:spacing w:before="0" w:beforeAutospacing="0" w:after="0" w:afterAutospacing="0" w:line="555" w:lineRule="atLeast"/>
        <w:ind w:left="0" w:right="0" w:firstLine="645"/>
        <w:rPr>
          <w:rFonts w:hint="default" w:ascii="Calibri" w:hAnsi="Calibri" w:eastAsia="Calibri" w:cs="Calibri"/>
          <w:sz w:val="21"/>
          <w:szCs w:val="21"/>
        </w:rPr>
      </w:pPr>
      <w:r>
        <w:rPr>
          <w:rFonts w:hint="eastAsia" w:ascii="仿宋_GB2312" w:hAnsi="仿宋_GB2312" w:eastAsia="仿宋_GB2312" w:cs="仿宋_GB2312"/>
          <w:sz w:val="31"/>
          <w:szCs w:val="31"/>
        </w:rPr>
        <w:t>截止202</w:t>
      </w:r>
      <w:r>
        <w:rPr>
          <w:rFonts w:hint="eastAsia" w:ascii="仿宋_GB2312" w:hAnsi="Calibri" w:eastAsia="仿宋_GB2312" w:cs="仿宋_GB2312"/>
          <w:sz w:val="31"/>
          <w:szCs w:val="31"/>
        </w:rPr>
        <w:t>1</w:t>
      </w:r>
      <w:r>
        <w:rPr>
          <w:rFonts w:hint="eastAsia" w:ascii="仿宋_GB2312" w:hAnsi="仿宋_GB2312" w:eastAsia="仿宋_GB2312" w:cs="仿宋_GB2312"/>
          <w:sz w:val="31"/>
          <w:szCs w:val="31"/>
        </w:rPr>
        <w:t>年12月31日，政府网站公开各类信息约</w:t>
      </w:r>
      <w:r>
        <w:rPr>
          <w:rFonts w:hint="eastAsia" w:ascii="仿宋_GB2312" w:hAnsi="Calibri" w:eastAsia="仿宋_GB2312" w:cs="仿宋_GB2312"/>
          <w:sz w:val="31"/>
          <w:szCs w:val="31"/>
        </w:rPr>
        <w:t>7320</w:t>
      </w:r>
      <w:r>
        <w:rPr>
          <w:rFonts w:hint="eastAsia" w:ascii="仿宋_GB2312" w:hAnsi="仿宋_GB2312" w:eastAsia="仿宋_GB2312" w:cs="仿宋_GB2312"/>
          <w:sz w:val="31"/>
          <w:szCs w:val="31"/>
        </w:rPr>
        <w:t>条，其中县本级</w:t>
      </w:r>
      <w:r>
        <w:rPr>
          <w:rFonts w:hint="eastAsia" w:ascii="仿宋_GB2312" w:hAnsi="Calibri" w:eastAsia="仿宋_GB2312" w:cs="仿宋_GB2312"/>
          <w:sz w:val="31"/>
          <w:szCs w:val="31"/>
        </w:rPr>
        <w:t>2514</w:t>
      </w:r>
      <w:r>
        <w:rPr>
          <w:rFonts w:hint="eastAsia" w:ascii="仿宋_GB2312" w:hAnsi="仿宋_GB2312" w:eastAsia="仿宋_GB2312" w:cs="仿宋_GB2312"/>
          <w:sz w:val="31"/>
          <w:szCs w:val="31"/>
        </w:rPr>
        <w:t>条、县政府部门</w:t>
      </w:r>
      <w:r>
        <w:rPr>
          <w:rFonts w:hint="eastAsia" w:ascii="仿宋_GB2312" w:hAnsi="Calibri" w:eastAsia="仿宋_GB2312" w:cs="仿宋_GB2312"/>
          <w:sz w:val="31"/>
          <w:szCs w:val="31"/>
        </w:rPr>
        <w:t>3832</w:t>
      </w:r>
      <w:r>
        <w:rPr>
          <w:rFonts w:hint="eastAsia" w:ascii="仿宋_GB2312" w:hAnsi="仿宋_GB2312" w:eastAsia="仿宋_GB2312" w:cs="仿宋_GB2312"/>
          <w:sz w:val="31"/>
          <w:szCs w:val="31"/>
        </w:rPr>
        <w:t>条、乡镇9</w:t>
      </w:r>
      <w:r>
        <w:rPr>
          <w:rFonts w:hint="eastAsia" w:ascii="仿宋_GB2312" w:hAnsi="Calibri" w:eastAsia="仿宋_GB2312" w:cs="仿宋_GB2312"/>
          <w:sz w:val="31"/>
          <w:szCs w:val="31"/>
        </w:rPr>
        <w:t>74</w:t>
      </w:r>
      <w:r>
        <w:rPr>
          <w:rFonts w:hint="eastAsia" w:ascii="仿宋_GB2312" w:hAnsi="仿宋_GB2312" w:eastAsia="仿宋_GB2312" w:cs="仿宋_GB2312"/>
          <w:sz w:val="31"/>
          <w:szCs w:val="31"/>
        </w:rPr>
        <w:t>条，人大建议、政协提案办理信息</w:t>
      </w:r>
      <w:r>
        <w:rPr>
          <w:rFonts w:hint="eastAsia" w:ascii="仿宋_GB2312" w:hAnsi="Calibri" w:eastAsia="仿宋_GB2312" w:cs="仿宋_GB2312"/>
          <w:sz w:val="31"/>
          <w:szCs w:val="31"/>
        </w:rPr>
        <w:t>141</w:t>
      </w:r>
      <w:r>
        <w:rPr>
          <w:rFonts w:hint="eastAsia" w:ascii="仿宋_GB2312" w:hAnsi="仿宋_GB2312" w:eastAsia="仿宋_GB2312" w:cs="仿宋_GB2312"/>
          <w:sz w:val="31"/>
          <w:szCs w:val="31"/>
        </w:rPr>
        <w:t>条，微信公众号“靖安县政府网”发布信息36</w:t>
      </w:r>
      <w:r>
        <w:rPr>
          <w:rFonts w:hint="eastAsia" w:ascii="仿宋_GB2312" w:hAnsi="Calibri" w:eastAsia="仿宋_GB2312" w:cs="仿宋_GB2312"/>
          <w:sz w:val="31"/>
          <w:szCs w:val="31"/>
        </w:rPr>
        <w:t>0余</w:t>
      </w:r>
      <w:r>
        <w:rPr>
          <w:rFonts w:hint="eastAsia" w:ascii="仿宋_GB2312" w:hAnsi="仿宋_GB2312" w:eastAsia="仿宋_GB2312" w:cs="仿宋_GB2312"/>
          <w:sz w:val="31"/>
          <w:szCs w:val="31"/>
        </w:rPr>
        <w:t>条。政府12345热线共承接群众热线工单</w:t>
      </w:r>
      <w:r>
        <w:rPr>
          <w:rFonts w:hint="eastAsia" w:ascii="仿宋_GB2312" w:hAnsi="Calibri" w:eastAsia="仿宋_GB2312" w:cs="仿宋_GB2312"/>
          <w:sz w:val="31"/>
          <w:szCs w:val="31"/>
        </w:rPr>
        <w:t>3187</w:t>
      </w:r>
      <w:r>
        <w:rPr>
          <w:rFonts w:hint="eastAsia" w:ascii="仿宋_GB2312" w:hAnsi="仿宋_GB2312" w:eastAsia="仿宋_GB2312" w:cs="仿宋_GB2312"/>
          <w:sz w:val="31"/>
          <w:szCs w:val="31"/>
        </w:rPr>
        <w:t>件，按期办结率为99.</w:t>
      </w:r>
      <w:r>
        <w:rPr>
          <w:rFonts w:hint="eastAsia" w:ascii="仿宋_GB2312" w:hAnsi="Calibri" w:eastAsia="仿宋_GB2312" w:cs="仿宋_GB2312"/>
          <w:sz w:val="31"/>
          <w:szCs w:val="31"/>
        </w:rPr>
        <w:t>87%，满意率为99.42%。</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Style w:val="6"/>
          <w:rFonts w:hint="eastAsia" w:ascii="楷体_GB2312" w:hAnsi="楷体_GB2312" w:eastAsia="楷体_GB2312" w:cs="楷体_GB2312"/>
          <w:sz w:val="31"/>
          <w:szCs w:val="31"/>
          <w:shd w:val="clear" w:fill="FFFFFF"/>
        </w:rPr>
        <w:t>（二）依申请公开</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Fonts w:hint="eastAsia" w:ascii="仿宋_GB2312" w:hAnsi="Calibri" w:eastAsia="仿宋_GB2312" w:cs="仿宋_GB2312"/>
          <w:sz w:val="31"/>
          <w:szCs w:val="31"/>
          <w:shd w:val="clear" w:fill="FFFFFF"/>
        </w:rPr>
        <w:t>2021</w:t>
      </w:r>
      <w:r>
        <w:rPr>
          <w:rFonts w:hint="eastAsia" w:ascii="仿宋_GB2312" w:hAnsi="仿宋_GB2312" w:eastAsia="仿宋_GB2312" w:cs="仿宋_GB2312"/>
          <w:sz w:val="31"/>
          <w:szCs w:val="31"/>
          <w:shd w:val="clear" w:fill="FFFFFF"/>
        </w:rPr>
        <w:t>年靖安县受理依申请公开</w:t>
      </w:r>
      <w:r>
        <w:rPr>
          <w:rFonts w:hint="eastAsia" w:ascii="仿宋_GB2312" w:hAnsi="Calibri" w:eastAsia="仿宋_GB2312" w:cs="仿宋_GB2312"/>
          <w:sz w:val="31"/>
          <w:szCs w:val="31"/>
          <w:shd w:val="clear" w:fill="FFFFFF"/>
        </w:rPr>
        <w:t>11</w:t>
      </w:r>
      <w:r>
        <w:rPr>
          <w:rFonts w:hint="eastAsia" w:ascii="仿宋_GB2312" w:hAnsi="仿宋_GB2312" w:eastAsia="仿宋_GB2312" w:cs="仿宋_GB2312"/>
          <w:sz w:val="31"/>
          <w:szCs w:val="31"/>
          <w:shd w:val="clear" w:fill="FFFFFF"/>
        </w:rPr>
        <w:t>件，其中自然人</w:t>
      </w:r>
      <w:r>
        <w:rPr>
          <w:rFonts w:hint="eastAsia" w:ascii="仿宋_GB2312" w:hAnsi="Calibri" w:eastAsia="仿宋_GB2312" w:cs="仿宋_GB2312"/>
          <w:sz w:val="31"/>
          <w:szCs w:val="31"/>
          <w:shd w:val="clear" w:fill="FFFFFF"/>
        </w:rPr>
        <w:t>11</w:t>
      </w:r>
      <w:r>
        <w:rPr>
          <w:rFonts w:hint="eastAsia" w:ascii="仿宋_GB2312" w:hAnsi="仿宋_GB2312" w:eastAsia="仿宋_GB2312" w:cs="仿宋_GB2312"/>
          <w:sz w:val="31"/>
          <w:szCs w:val="31"/>
          <w:shd w:val="clear" w:fill="FFFFFF"/>
        </w:rPr>
        <w:t>件，在线</w:t>
      </w:r>
      <w:r>
        <w:rPr>
          <w:rFonts w:hint="eastAsia" w:ascii="仿宋_GB2312" w:hAnsi="Calibri" w:eastAsia="仿宋_GB2312" w:cs="仿宋_GB2312"/>
          <w:sz w:val="31"/>
          <w:szCs w:val="31"/>
          <w:shd w:val="clear" w:fill="FFFFFF"/>
        </w:rPr>
        <w:t>10</w:t>
      </w:r>
      <w:r>
        <w:rPr>
          <w:rFonts w:hint="eastAsia" w:ascii="仿宋_GB2312" w:hAnsi="仿宋_GB2312" w:eastAsia="仿宋_GB2312" w:cs="仿宋_GB2312"/>
          <w:sz w:val="31"/>
          <w:szCs w:val="31"/>
          <w:shd w:val="clear" w:fill="FFFFFF"/>
        </w:rPr>
        <w:t>件，信函</w:t>
      </w:r>
      <w:r>
        <w:rPr>
          <w:rFonts w:hint="eastAsia" w:ascii="仿宋_GB2312" w:hAnsi="Calibri" w:eastAsia="仿宋_GB2312" w:cs="仿宋_GB2312"/>
          <w:sz w:val="31"/>
          <w:szCs w:val="31"/>
          <w:shd w:val="clear" w:fill="FFFFFF"/>
        </w:rPr>
        <w:t>1</w:t>
      </w:r>
      <w:r>
        <w:rPr>
          <w:rFonts w:hint="eastAsia" w:ascii="仿宋_GB2312" w:hAnsi="仿宋_GB2312" w:eastAsia="仿宋_GB2312" w:cs="仿宋_GB2312"/>
          <w:sz w:val="31"/>
          <w:szCs w:val="31"/>
          <w:shd w:val="clear" w:fill="FFFFFF"/>
        </w:rPr>
        <w:t>件。未发生超过规定答复期限的情况，未发生因政府信息公开引起的行政复议或行政诉讼案件。</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Style w:val="6"/>
          <w:rFonts w:hint="eastAsia" w:ascii="楷体_GB2312" w:hAnsi="楷体_GB2312" w:eastAsia="楷体_GB2312" w:cs="楷体_GB2312"/>
          <w:sz w:val="31"/>
          <w:szCs w:val="31"/>
          <w:shd w:val="clear" w:fill="FFFFFF"/>
        </w:rPr>
        <w:t>（三）政府信息管理</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Fonts w:hint="eastAsia" w:ascii="仿宋_GB2312" w:hAnsi="仿宋_GB2312" w:eastAsia="仿宋_GB2312" w:cs="仿宋_GB2312"/>
          <w:sz w:val="31"/>
          <w:szCs w:val="31"/>
          <w:shd w:val="clear" w:fill="FFFFFF"/>
        </w:rPr>
        <w:t>我县按照上级要求，由靖安县人民政府办公室统筹协调全县政务公开工作，根据国务院办公厅《政府信息公开信息处理费管理办法》（国办函〔2020〕109号）文件要求，在《靖安县人民政府信息公开指南》及时公开依申请公开收费标准；持续做好公开信息先审后发工作，积极参与宜春市每周找错活动；文件起草单位依据相关规定做好文件公开形式审查，从严把握不予公开范围，规范填写《靖安县行政机关公文公开发布意见单》；加强政策文件合法性审查、规范性审查。</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Style w:val="6"/>
          <w:rFonts w:hint="eastAsia" w:ascii="楷体_GB2312" w:hAnsi="楷体_GB2312" w:eastAsia="楷体_GB2312" w:cs="楷体_GB2312"/>
          <w:sz w:val="31"/>
          <w:szCs w:val="31"/>
          <w:shd w:val="clear" w:fill="FFFFFF"/>
        </w:rPr>
        <w:t>（四）平台建设</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Fonts w:hint="eastAsia" w:ascii="仿宋_GB2312" w:hAnsi="仿宋_GB2312" w:eastAsia="仿宋_GB2312" w:cs="仿宋_GB2312"/>
          <w:sz w:val="31"/>
          <w:szCs w:val="31"/>
          <w:shd w:val="clear" w:fill="FFFFFF"/>
        </w:rPr>
        <w:t>我县政府网站根据有关工作要求，规范信息公开界面展示方式。推进“靖安县政府网”微信公众号建设，完善政务发布、政务服务和政民互通板块功能，及时发布政府政策文件和政策解读，广泛征集群众意见；我县按上级要求进行了政府系统政务新媒体、微信和QQ工作群集中清理整治，共有6个微信公众号和2个抖音短视频号纳入国办政务新媒体管理系统，微信公众号分别是“靖安县政府网”“靖安平安”“靖安户政服务”“靖安司法行政”“靖安旅游”和“靖安交警”，抖音短视频号分别是“靖安城管”和“靖安县旅游”。</w:t>
      </w:r>
    </w:p>
    <w:p>
      <w:pPr>
        <w:pStyle w:val="3"/>
        <w:keepNext w:val="0"/>
        <w:keepLines w:val="0"/>
        <w:widowControl/>
        <w:suppressLineNumbers w:val="0"/>
        <w:shd w:val="clear" w:fill="FFFFFF"/>
        <w:spacing w:before="0" w:beforeAutospacing="0" w:after="0" w:afterAutospacing="0" w:line="555" w:lineRule="atLeast"/>
        <w:ind w:left="0" w:right="0" w:firstLine="645"/>
        <w:jc w:val="both"/>
        <w:rPr>
          <w:rFonts w:hint="default" w:ascii="Calibri" w:hAnsi="Calibri" w:eastAsia="Calibri" w:cs="Calibri"/>
          <w:sz w:val="21"/>
          <w:szCs w:val="21"/>
        </w:rPr>
      </w:pPr>
      <w:r>
        <w:rPr>
          <w:rStyle w:val="6"/>
          <w:rFonts w:hint="eastAsia" w:ascii="楷体_GB2312" w:hAnsi="楷体_GB2312" w:eastAsia="楷体_GB2312" w:cs="楷体_GB2312"/>
          <w:sz w:val="31"/>
          <w:szCs w:val="31"/>
          <w:shd w:val="clear" w:fill="FFFFFF"/>
        </w:rPr>
        <w:t>（五）监督保障</w:t>
      </w:r>
    </w:p>
    <w:p>
      <w:pPr>
        <w:pStyle w:val="3"/>
        <w:keepNext w:val="0"/>
        <w:keepLines w:val="0"/>
        <w:widowControl/>
        <w:suppressLineNumbers w:val="0"/>
        <w:shd w:val="clear" w:fill="FFFFFF"/>
        <w:spacing w:before="0" w:beforeAutospacing="0" w:after="0" w:afterAutospacing="0" w:line="555" w:lineRule="atLeast"/>
        <w:ind w:left="0" w:right="0" w:firstLine="645"/>
        <w:rPr>
          <w:rFonts w:hint="default" w:ascii="Calibri" w:hAnsi="Calibri" w:eastAsia="Calibri" w:cs="Calibri"/>
          <w:sz w:val="24"/>
          <w:szCs w:val="24"/>
        </w:rPr>
      </w:pPr>
      <w:r>
        <w:rPr>
          <w:rFonts w:hint="eastAsia" w:ascii="仿宋_GB2312" w:hAnsi="仿宋_GB2312" w:eastAsia="仿宋_GB2312" w:cs="仿宋_GB2312"/>
          <w:sz w:val="31"/>
          <w:szCs w:val="31"/>
          <w:shd w:val="clear" w:fill="FFFFFF"/>
        </w:rPr>
        <w:t>为加强对政务公开工作的领导，我县在政府办公室设立政务公开办公室，负责统筹协调全县政务公开、政府公报、政府网站、政务新媒体、依申请公开等工作。公民、法人或其他组织认为县内行政机关在政府信息公开工作中侵犯其合法权益的，可以向上一级行政机关或者政府信息公开工作主管部门投诉、举报，也可以依法申请行政复议或者提起行政诉讼。</w:t>
      </w:r>
    </w:p>
    <w:p>
      <w:pPr>
        <w:pStyle w:val="3"/>
        <w:keepNext w:val="0"/>
        <w:keepLines w:val="0"/>
        <w:widowControl/>
        <w:suppressLineNumbers w:val="0"/>
        <w:shd w:val="clear" w:fill="FFFFFF"/>
        <w:spacing w:before="0" w:beforeAutospacing="0" w:after="0" w:afterAutospacing="0" w:line="555" w:lineRule="atLeast"/>
        <w:ind w:left="0" w:right="0" w:firstLine="645"/>
        <w:rPr>
          <w:rFonts w:hint="default" w:ascii="Calibri" w:hAnsi="Calibri" w:eastAsia="Calibri" w:cs="Calibri"/>
          <w:sz w:val="24"/>
          <w:szCs w:val="24"/>
        </w:rPr>
      </w:pPr>
      <w:r>
        <w:rPr>
          <w:rFonts w:hint="eastAsia" w:ascii="仿宋_GB2312" w:hAnsi="仿宋_GB2312" w:eastAsia="仿宋_GB2312" w:cs="仿宋_GB2312"/>
          <w:sz w:val="31"/>
          <w:szCs w:val="31"/>
          <w:shd w:val="clear" w:fill="FFFFFF"/>
        </w:rPr>
        <w:t>工作考核方面，我县将政务公开工作纳入2021年度靖安县高质量发展考核评价，由县政府办组织实施。</w:t>
      </w:r>
    </w:p>
    <w:p>
      <w:pPr>
        <w:pStyle w:val="3"/>
        <w:keepNext w:val="0"/>
        <w:keepLines w:val="0"/>
        <w:widowControl/>
        <w:suppressLineNumbers w:val="0"/>
        <w:shd w:val="clear" w:fill="FFFFFF"/>
        <w:spacing w:before="0" w:beforeAutospacing="0" w:after="0" w:afterAutospacing="0" w:line="555" w:lineRule="atLeast"/>
        <w:ind w:left="0" w:right="0" w:firstLine="645"/>
        <w:rPr>
          <w:rFonts w:hint="default" w:ascii="Calibri" w:hAnsi="Calibri" w:eastAsia="Calibri" w:cs="Calibri"/>
          <w:sz w:val="24"/>
          <w:szCs w:val="24"/>
        </w:rPr>
      </w:pPr>
      <w:r>
        <w:rPr>
          <w:rFonts w:hint="eastAsia" w:ascii="仿宋_GB2312" w:hAnsi="仿宋_GB2312" w:eastAsia="仿宋_GB2312" w:cs="仿宋_GB2312"/>
          <w:sz w:val="31"/>
          <w:szCs w:val="31"/>
          <w:shd w:val="clear" w:fill="FFFFFF"/>
        </w:rPr>
        <w:t>我县对社会评议方面采取积极态度，公开各政府部门及乡镇的办公地址、联系方式、负责同志以及监督途径等信息，积极主动听取公众意见和建议。</w:t>
      </w:r>
    </w:p>
    <w:p>
      <w:pPr>
        <w:pStyle w:val="3"/>
        <w:keepNext w:val="0"/>
        <w:keepLines w:val="0"/>
        <w:widowControl/>
        <w:suppressLineNumbers w:val="0"/>
        <w:shd w:val="clear" w:fill="FFFFFF"/>
        <w:spacing w:before="0" w:beforeAutospacing="0" w:after="0" w:afterAutospacing="0" w:line="555" w:lineRule="atLeast"/>
        <w:ind w:left="0" w:right="0" w:firstLine="645"/>
        <w:rPr>
          <w:rFonts w:hint="default" w:ascii="Calibri" w:hAnsi="Calibri" w:eastAsia="Calibri" w:cs="Calibri"/>
          <w:sz w:val="24"/>
          <w:szCs w:val="24"/>
        </w:rPr>
      </w:pPr>
      <w:r>
        <w:rPr>
          <w:rFonts w:hint="eastAsia" w:ascii="仿宋_GB2312" w:hAnsi="仿宋_GB2312" w:eastAsia="仿宋_GB2312" w:cs="仿宋_GB2312"/>
          <w:sz w:val="31"/>
          <w:szCs w:val="31"/>
          <w:shd w:val="clear" w:fill="FFFFFF"/>
        </w:rPr>
        <w:t>责任追究结果情况方面，</w:t>
      </w:r>
      <w:r>
        <w:rPr>
          <w:rFonts w:hint="eastAsia" w:ascii="仿宋_GB2312" w:hAnsi="Calibri" w:eastAsia="仿宋_GB2312" w:cs="仿宋_GB2312"/>
          <w:sz w:val="31"/>
          <w:szCs w:val="31"/>
          <w:shd w:val="clear" w:fill="FFFFFF"/>
        </w:rPr>
        <w:t>2021年我县未出现因信息公开不到位需要进行责任追究的情况。</w:t>
      </w:r>
    </w:p>
    <w:p>
      <w:pPr>
        <w:pStyle w:val="3"/>
        <w:keepNext w:val="0"/>
        <w:keepLines w:val="0"/>
        <w:widowControl/>
        <w:suppressLineNumbers w:val="0"/>
        <w:shd w:val="clear" w:fill="FFFFFF"/>
        <w:spacing w:before="0" w:beforeAutospacing="0" w:after="240" w:afterAutospacing="0" w:line="555" w:lineRule="atLeast"/>
        <w:ind w:left="0" w:right="0" w:firstLine="645"/>
        <w:jc w:val="both"/>
        <w:rPr>
          <w:rFonts w:hint="default" w:ascii="Calibri" w:hAnsi="Calibri" w:eastAsia="Calibri" w:cs="Calibri"/>
          <w:sz w:val="21"/>
          <w:szCs w:val="21"/>
        </w:rPr>
      </w:pPr>
      <w:r>
        <w:rPr>
          <w:rFonts w:hint="eastAsia" w:ascii="黑体" w:hAnsi="宋体" w:eastAsia="黑体" w:cs="黑体"/>
          <w:sz w:val="31"/>
          <w:szCs w:val="31"/>
          <w:shd w:val="clear" w:fill="FFFFFF"/>
        </w:rPr>
        <w:t>二、主动公开政府信息情况</w:t>
      </w:r>
    </w:p>
    <w:tbl>
      <w:tblPr>
        <w:tblStyle w:val="4"/>
        <w:tblW w:w="9735" w:type="dxa"/>
        <w:tblCellSpacing w:w="0" w:type="dxa"/>
        <w:tblInd w:w="15" w:type="dxa"/>
        <w:shd w:val="clear" w:color="auto" w:fill="auto"/>
        <w:tblLayout w:type="autofit"/>
        <w:tblCellMar>
          <w:top w:w="15" w:type="dxa"/>
          <w:left w:w="15" w:type="dxa"/>
          <w:bottom w:w="15" w:type="dxa"/>
          <w:right w:w="15" w:type="dxa"/>
        </w:tblCellMar>
      </w:tblPr>
      <w:tblGrid>
        <w:gridCol w:w="2430"/>
        <w:gridCol w:w="2430"/>
        <w:gridCol w:w="2445"/>
        <w:gridCol w:w="2430"/>
      </w:tblGrid>
      <w:tr>
        <w:tblPrEx>
          <w:shd w:val="clear" w:color="auto" w:fill="auto"/>
          <w:tblCellMar>
            <w:top w:w="15" w:type="dxa"/>
            <w:left w:w="15" w:type="dxa"/>
            <w:bottom w:w="15" w:type="dxa"/>
            <w:right w:w="15" w:type="dxa"/>
          </w:tblCellMar>
        </w:tblPrEx>
        <w:trPr>
          <w:trHeight w:val="345" w:hRule="atLeast"/>
          <w:tblCellSpacing w:w="0" w:type="dxa"/>
        </w:trPr>
        <w:tc>
          <w:tcPr>
            <w:tcW w:w="9735" w:type="dxa"/>
            <w:gridSpan w:val="4"/>
            <w:tcBorders>
              <w:top w:val="single" w:color="000000" w:sz="6" w:space="0"/>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第二十条第（一）项</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本年制发件数</w:t>
            </w:r>
          </w:p>
        </w:tc>
        <w:tc>
          <w:tcPr>
            <w:tcW w:w="24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本年废止件数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现行有效件数</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0</w:t>
            </w:r>
          </w:p>
        </w:tc>
      </w:tr>
      <w:tr>
        <w:tblPrEx>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3</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15</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26</w:t>
            </w:r>
          </w:p>
        </w:tc>
      </w:tr>
      <w:tr>
        <w:tblPrEx>
          <w:shd w:val="clear" w:color="auto" w:fill="auto"/>
          <w:tblCellMar>
            <w:top w:w="15" w:type="dxa"/>
            <w:left w:w="15" w:type="dxa"/>
            <w:bottom w:w="15" w:type="dxa"/>
            <w:right w:w="15" w:type="dxa"/>
          </w:tblCellMar>
        </w:tblPrEx>
        <w:trPr>
          <w:trHeight w:val="345" w:hRule="atLeast"/>
          <w:tblCellSpacing w:w="0" w:type="dxa"/>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第二十条第（五）项</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本年处理决定数量</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870</w:t>
            </w:r>
          </w:p>
        </w:tc>
      </w:tr>
      <w:tr>
        <w:tblPrEx>
          <w:tblCellMar>
            <w:top w:w="15" w:type="dxa"/>
            <w:left w:w="15" w:type="dxa"/>
            <w:bottom w:w="15" w:type="dxa"/>
            <w:right w:w="15" w:type="dxa"/>
          </w:tblCellMar>
        </w:tblPrEx>
        <w:trPr>
          <w:trHeight w:val="345" w:hRule="atLeast"/>
          <w:tblCellSpacing w:w="0" w:type="dxa"/>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第二十条第（六）项</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本年处理决定数量</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381</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24"/>
                <w:szCs w:val="24"/>
              </w:rPr>
              <w:t>18</w:t>
            </w:r>
          </w:p>
        </w:tc>
      </w:tr>
      <w:tr>
        <w:tblPrEx>
          <w:shd w:val="clear" w:color="auto" w:fill="auto"/>
          <w:tblCellMar>
            <w:top w:w="15" w:type="dxa"/>
            <w:left w:w="15" w:type="dxa"/>
            <w:bottom w:w="15" w:type="dxa"/>
            <w:right w:w="15" w:type="dxa"/>
          </w:tblCellMar>
        </w:tblPrEx>
        <w:trPr>
          <w:trHeight w:val="345" w:hRule="atLeast"/>
          <w:tblCellSpacing w:w="0" w:type="dxa"/>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第二十条第（八）项</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本年收费金额（单位：万元）</w:t>
            </w:r>
          </w:p>
        </w:tc>
      </w:tr>
      <w:tr>
        <w:tblPrEx>
          <w:shd w:val="clear" w:color="auto" w:fill="auto"/>
          <w:tblCellMar>
            <w:top w:w="15" w:type="dxa"/>
            <w:left w:w="15" w:type="dxa"/>
            <w:bottom w:w="15" w:type="dxa"/>
            <w:right w:w="15" w:type="dxa"/>
          </w:tblCellMar>
        </w:tblPrEx>
        <w:trPr>
          <w:trHeight w:val="345" w:hRule="atLeast"/>
          <w:tblCellSpacing w:w="0" w:type="dxa"/>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行政事业性收费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ind w:left="0" w:firstLine="0"/>
              <w:jc w:val="center"/>
              <w:rPr>
                <w:rFonts w:hint="default" w:ascii="Calibri" w:hAnsi="Calibri" w:eastAsia="Calibri" w:cs="Calibri"/>
                <w:sz w:val="21"/>
                <w:szCs w:val="21"/>
              </w:rPr>
            </w:pPr>
            <w:r>
              <w:rPr>
                <w:rFonts w:hint="eastAsia" w:ascii="宋体" w:hAnsi="宋体" w:eastAsia="宋体" w:cs="宋体"/>
                <w:color w:val="333333"/>
                <w:spacing w:val="0"/>
                <w:sz w:val="24"/>
                <w:szCs w:val="24"/>
              </w:rPr>
              <w:t>2854.291009</w:t>
            </w:r>
          </w:p>
        </w:tc>
      </w:tr>
    </w:tbl>
    <w:p>
      <w:pPr>
        <w:pStyle w:val="3"/>
        <w:keepNext w:val="0"/>
        <w:keepLines w:val="0"/>
        <w:widowControl/>
        <w:suppressLineNumbers w:val="0"/>
        <w:shd w:val="clear" w:fill="FFFFFF"/>
        <w:spacing w:before="0" w:beforeAutospacing="0" w:after="0" w:afterAutospacing="0" w:line="240" w:lineRule="atLeast"/>
        <w:ind w:left="0" w:right="0" w:firstLine="255"/>
        <w:jc w:val="both"/>
        <w:rPr>
          <w:rFonts w:hint="default" w:ascii="Calibri" w:hAnsi="Calibri" w:eastAsia="Calibri" w:cs="Calibri"/>
          <w:sz w:val="21"/>
          <w:szCs w:val="21"/>
        </w:rPr>
      </w:pPr>
      <w:r>
        <w:rPr>
          <w:rFonts w:hint="eastAsia" w:ascii="黑体" w:hAnsi="宋体" w:eastAsia="黑体" w:cs="黑体"/>
          <w:sz w:val="13"/>
          <w:szCs w:val="13"/>
          <w:shd w:val="clear" w:fill="FFFFFF"/>
        </w:rPr>
        <w:t> </w:t>
      </w:r>
    </w:p>
    <w:p>
      <w:pPr>
        <w:pStyle w:val="3"/>
        <w:keepNext w:val="0"/>
        <w:keepLines w:val="0"/>
        <w:widowControl/>
        <w:suppressLineNumbers w:val="0"/>
        <w:shd w:val="clear" w:fill="FFFFFF"/>
        <w:spacing w:before="0" w:beforeAutospacing="0" w:after="0" w:afterAutospacing="0"/>
        <w:ind w:left="0" w:right="0" w:firstLine="645"/>
        <w:jc w:val="both"/>
        <w:rPr>
          <w:rFonts w:hint="default" w:ascii="Calibri" w:hAnsi="Calibri" w:eastAsia="Calibri" w:cs="Calibri"/>
          <w:sz w:val="21"/>
          <w:szCs w:val="21"/>
        </w:rPr>
      </w:pPr>
      <w:r>
        <w:rPr>
          <w:rFonts w:hint="eastAsia" w:ascii="黑体" w:hAnsi="宋体" w:eastAsia="黑体" w:cs="黑体"/>
          <w:sz w:val="31"/>
          <w:szCs w:val="31"/>
          <w:shd w:val="clear" w:fill="FFFFFF"/>
        </w:rPr>
        <w:t>三、收到和处理政府信息公开申请情况</w:t>
      </w:r>
    </w:p>
    <w:tbl>
      <w:tblPr>
        <w:tblStyle w:val="4"/>
        <w:tblW w:w="97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1"/>
        <w:gridCol w:w="941"/>
        <w:gridCol w:w="3197"/>
        <w:gridCol w:w="692"/>
        <w:gridCol w:w="692"/>
        <w:gridCol w:w="692"/>
        <w:gridCol w:w="692"/>
        <w:gridCol w:w="692"/>
        <w:gridCol w:w="692"/>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145" w:type="dxa"/>
            <w:gridSpan w:val="3"/>
            <w:vMerge w:val="restart"/>
            <w:tcBorders>
              <w:top w:val="single" w:color="000000" w:sz="6" w:space="0"/>
              <w:left w:val="single" w:color="000000" w:sz="6" w:space="0"/>
              <w:bottom w:val="outset"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ascii="楷体" w:hAnsi="楷体" w:eastAsia="楷体" w:cs="楷体"/>
                <w:color w:val="333333"/>
                <w:spacing w:val="0"/>
                <w:sz w:val="19"/>
                <w:szCs w:val="19"/>
              </w:rPr>
              <w:t>（本列数据的勾稽关系为：第一项加第二项之和，等于第三项加第四项之和）</w:t>
            </w:r>
          </w:p>
        </w:tc>
        <w:tc>
          <w:tcPr>
            <w:tcW w:w="4995"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145" w:type="dxa"/>
            <w:gridSpan w:val="3"/>
            <w:vMerge w:val="continue"/>
            <w:tcBorders>
              <w:top w:val="single" w:color="000000" w:sz="6" w:space="0"/>
              <w:left w:val="single" w:color="000000" w:sz="6" w:space="0"/>
              <w:bottom w:val="outset"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720"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自然人</w:t>
            </w:r>
          </w:p>
        </w:tc>
        <w:tc>
          <w:tcPr>
            <w:tcW w:w="3570"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法人或其他组织</w:t>
            </w:r>
          </w:p>
        </w:tc>
        <w:tc>
          <w:tcPr>
            <w:tcW w:w="720"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145" w:type="dxa"/>
            <w:gridSpan w:val="3"/>
            <w:vMerge w:val="continue"/>
            <w:tcBorders>
              <w:top w:val="single" w:color="000000" w:sz="6" w:space="0"/>
              <w:left w:val="single" w:color="000000" w:sz="6" w:space="0"/>
              <w:bottom w:val="outset"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720"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商业</w:t>
            </w:r>
          </w:p>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企业</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科研</w:t>
            </w:r>
          </w:p>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机构</w:t>
            </w:r>
          </w:p>
        </w:tc>
        <w:tc>
          <w:tcPr>
            <w:tcW w:w="72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社会公益组织</w:t>
            </w:r>
          </w:p>
        </w:tc>
        <w:tc>
          <w:tcPr>
            <w:tcW w:w="72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法律服务机构</w:t>
            </w:r>
          </w:p>
        </w:tc>
        <w:tc>
          <w:tcPr>
            <w:tcW w:w="72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其他</w:t>
            </w:r>
          </w:p>
        </w:tc>
        <w:tc>
          <w:tcPr>
            <w:tcW w:w="720"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1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一、本年新收政府信息公开申请数量</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ascii="Calibri" w:hAnsi="Calibri" w:eastAsia="Calibri" w:cs="Calibri"/>
                <w:color w:val="333333"/>
                <w:spacing w:val="0"/>
                <w:sz w:val="19"/>
                <w:szCs w:val="19"/>
              </w:rPr>
              <w:t>11</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11 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1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二、上年结转政府信息公开申请数量</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Calibri" w:hAnsi="Calibri" w:eastAsia="Calibri" w:cs="Calibri"/>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三、本年度办理结果</w:t>
            </w:r>
          </w:p>
        </w:tc>
        <w:tc>
          <w:tcPr>
            <w:tcW w:w="4365"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（一）予以公开</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4</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4365"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（二）部分公开</w:t>
            </w:r>
            <w:r>
              <w:rPr>
                <w:rFonts w:hint="eastAsia" w:ascii="楷体" w:hAnsi="楷体" w:eastAsia="楷体" w:cs="楷体"/>
                <w:color w:val="333333"/>
                <w:spacing w:val="0"/>
                <w:sz w:val="19"/>
                <w:szCs w:val="19"/>
              </w:rPr>
              <w:t>（区分处理的，只计这一情形，不计其他情形）</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（三）不予公开</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1.属于国家秘密</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2.其他法律行政法规禁止公开</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3.危及“三安全一稳定”</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4.保护第三方合法权益</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5.属于三类内部事务信息</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6.属于四类过程性信息</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7.属于行政执法案卷</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8.属于行政查询事项</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（四）无法提供</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1.本机关不掌握相关政府信息</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3</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2.没有现成信息需要另行制作</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3.补正后申请内容仍不明确</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（五）不予处理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1.信访举报投诉类申请</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2.重复申请</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3.要求提供公开出版物</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4.无正当理由大量反复申请</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80" w:hRule="atLeast"/>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both"/>
              <w:rPr>
                <w:rFonts w:hint="default" w:ascii="Calibri" w:hAnsi="Calibri" w:eastAsia="Calibri" w:cs="Calibri"/>
                <w:sz w:val="24"/>
                <w:szCs w:val="24"/>
              </w:rPr>
            </w:pPr>
            <w:r>
              <w:rPr>
                <w:rFonts w:hint="eastAsia" w:ascii="宋体" w:hAnsi="宋体" w:eastAsia="宋体" w:cs="宋体"/>
                <w:color w:val="333333"/>
                <w:spacing w:val="0"/>
                <w:sz w:val="19"/>
                <w:szCs w:val="19"/>
              </w:rPr>
              <w:t>5.要求行政机关确认或重新出具已获取信息</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（六）其他处理</w:t>
            </w: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both"/>
              <w:rPr>
                <w:rFonts w:hint="default" w:ascii="Calibri" w:hAnsi="Calibri" w:eastAsia="Calibri" w:cs="Calibri"/>
                <w:sz w:val="24"/>
                <w:szCs w:val="24"/>
              </w:rPr>
            </w:pPr>
            <w:r>
              <w:rPr>
                <w:rFonts w:hint="eastAsia" w:ascii="宋体" w:hAnsi="宋体" w:eastAsia="宋体" w:cs="宋体"/>
                <w:color w:val="333333"/>
                <w:spacing w:val="0"/>
                <w:sz w:val="19"/>
                <w:szCs w:val="19"/>
              </w:rPr>
              <w:t>1.申请人无正当理由逾期不补正、行政机关不再处理其政府信息公开申请</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both"/>
              <w:rPr>
                <w:rFonts w:hint="default" w:ascii="Calibri" w:hAnsi="Calibri" w:eastAsia="Calibri" w:cs="Calibri"/>
                <w:sz w:val="24"/>
                <w:szCs w:val="24"/>
              </w:rPr>
            </w:pPr>
            <w:r>
              <w:rPr>
                <w:rFonts w:hint="eastAsia" w:ascii="宋体" w:hAnsi="宋体" w:eastAsia="宋体" w:cs="宋体"/>
                <w:color w:val="333333"/>
                <w:spacing w:val="0"/>
                <w:sz w:val="19"/>
                <w:szCs w:val="19"/>
              </w:rPr>
              <w:t>2.申请人逾期未按收费通知要求缴纳费用、行政机关不再处理其政府信息公开申请</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96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34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3.其他</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780"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rPr>
                <w:rFonts w:hint="eastAsia" w:ascii="微软雅黑" w:hAnsi="微软雅黑" w:eastAsia="微软雅黑" w:cs="微软雅黑"/>
                <w:color w:val="333333"/>
                <w:sz w:val="19"/>
                <w:szCs w:val="19"/>
              </w:rPr>
            </w:pPr>
          </w:p>
        </w:tc>
        <w:tc>
          <w:tcPr>
            <w:tcW w:w="4365"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（七）总计</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11</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145"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四、结转下年度继续办理</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3"/>
              <w:keepNext w:val="0"/>
              <w:keepLines w:val="0"/>
              <w:widowControl/>
              <w:suppressLineNumbers w:val="0"/>
              <w:jc w:val="center"/>
              <w:rPr>
                <w:rFonts w:hint="default" w:ascii="Calibri" w:hAnsi="Calibri" w:eastAsia="Calibri" w:cs="Calibri"/>
                <w:sz w:val="24"/>
                <w:szCs w:val="24"/>
              </w:rPr>
            </w:pPr>
            <w:r>
              <w:rPr>
                <w:rFonts w:hint="default" w:ascii="Times New Roman" w:hAnsi="Times New Roman" w:eastAsia="Calibri" w:cs="Times New Roman"/>
                <w:color w:val="333333"/>
                <w:spacing w:val="0"/>
                <w:sz w:val="19"/>
                <w:szCs w:val="19"/>
              </w:rPr>
              <w:t>0</w:t>
            </w:r>
          </w:p>
        </w:tc>
        <w:tc>
          <w:tcPr>
            <w:tcW w:w="72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3"/>
              <w:keepNext w:val="0"/>
              <w:keepLines w:val="0"/>
              <w:widowControl/>
              <w:suppressLineNumbers w:val="0"/>
              <w:ind w:left="0" w:firstLine="0"/>
              <w:jc w:val="center"/>
              <w:rPr>
                <w:rFonts w:hint="default" w:ascii="Calibri" w:hAnsi="Calibri" w:eastAsia="Calibri" w:cs="Calibri"/>
                <w:sz w:val="21"/>
                <w:szCs w:val="21"/>
              </w:rPr>
            </w:pPr>
            <w:r>
              <w:rPr>
                <w:rFonts w:hint="default" w:ascii="Times New Roman" w:hAnsi="Times New Roman" w:eastAsia="Calibri" w:cs="Times New Roman"/>
                <w:color w:val="333333"/>
                <w:spacing w:val="0"/>
                <w:sz w:val="19"/>
                <w:szCs w:val="19"/>
              </w:rPr>
              <w:t>0</w:t>
            </w:r>
          </w:p>
        </w:tc>
      </w:tr>
    </w:tbl>
    <w:p>
      <w:pPr>
        <w:pStyle w:val="3"/>
        <w:keepNext w:val="0"/>
        <w:keepLines w:val="0"/>
        <w:widowControl/>
        <w:suppressLineNumbers w:val="0"/>
        <w:shd w:val="clear" w:fill="FFFFFF"/>
        <w:spacing w:before="0" w:beforeAutospacing="0" w:after="0" w:afterAutospacing="0"/>
        <w:ind w:left="0" w:right="0" w:firstLine="645"/>
        <w:jc w:val="both"/>
        <w:rPr>
          <w:rFonts w:hint="default" w:ascii="Calibri" w:hAnsi="Calibri" w:eastAsia="Calibri" w:cs="Calibri"/>
          <w:sz w:val="21"/>
          <w:szCs w:val="21"/>
        </w:rPr>
      </w:pPr>
      <w:r>
        <w:rPr>
          <w:rFonts w:hint="eastAsia" w:ascii="黑体" w:hAnsi="宋体" w:eastAsia="黑体" w:cs="黑体"/>
          <w:sz w:val="31"/>
          <w:szCs w:val="31"/>
          <w:shd w:val="clear" w:fill="FFFFFF"/>
        </w:rPr>
        <w:t>四、政府信息公开行政复议、行政诉讼情况</w:t>
      </w:r>
    </w:p>
    <w:tbl>
      <w:tblPr>
        <w:tblStyle w:val="4"/>
        <w:tblW w:w="97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321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行政复议</w:t>
            </w:r>
          </w:p>
        </w:tc>
        <w:tc>
          <w:tcPr>
            <w:tcW w:w="6435" w:type="dxa"/>
            <w:gridSpan w:val="10"/>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4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结果维持</w:t>
            </w:r>
          </w:p>
        </w:tc>
        <w:tc>
          <w:tcPr>
            <w:tcW w:w="64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结果</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纠正</w:t>
            </w:r>
          </w:p>
        </w:tc>
        <w:tc>
          <w:tcPr>
            <w:tcW w:w="64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其他</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结果</w:t>
            </w:r>
          </w:p>
        </w:tc>
        <w:tc>
          <w:tcPr>
            <w:tcW w:w="64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尚未</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审结</w:t>
            </w:r>
          </w:p>
        </w:tc>
        <w:tc>
          <w:tcPr>
            <w:tcW w:w="64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总计</w:t>
            </w:r>
          </w:p>
        </w:tc>
        <w:tc>
          <w:tcPr>
            <w:tcW w:w="321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未经复议直接起诉</w:t>
            </w:r>
          </w:p>
        </w:tc>
        <w:tc>
          <w:tcPr>
            <w:tcW w:w="321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6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64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64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64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color w:val="333333"/>
                <w:sz w:val="19"/>
                <w:szCs w:val="19"/>
              </w:rPr>
            </w:pP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结果</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维持</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结果</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纠正</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其他</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结果</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尚未</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审结</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总计</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结果</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维持</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结果</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纠正</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其他</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结果</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尚未</w:t>
            </w:r>
            <w:r>
              <w:rPr>
                <w:rFonts w:hint="eastAsia" w:ascii="宋体" w:hAnsi="宋体" w:eastAsia="宋体" w:cs="宋体"/>
                <w:color w:val="333333"/>
                <w:spacing w:val="0"/>
                <w:sz w:val="19"/>
                <w:szCs w:val="19"/>
              </w:rPr>
              <w:br w:type="textWrapping"/>
            </w:r>
            <w:r>
              <w:rPr>
                <w:rFonts w:hint="eastAsia" w:ascii="宋体" w:hAnsi="宋体" w:eastAsia="宋体" w:cs="宋体"/>
                <w:color w:val="333333"/>
                <w:spacing w:val="0"/>
                <w:sz w:val="19"/>
                <w:szCs w:val="19"/>
              </w:rPr>
              <w:t>审结</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宋体" w:hAnsi="宋体" w:eastAsia="宋体" w:cs="宋体"/>
                <w:color w:val="333333"/>
                <w:spacing w:val="0"/>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tblCellSpacing w:w="0" w:type="dxa"/>
        </w:trPr>
        <w:tc>
          <w:tcPr>
            <w:tcW w:w="6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4"/>
                <w:szCs w:val="24"/>
              </w:rPr>
            </w:pPr>
            <w:r>
              <w:rPr>
                <w:rFonts w:hint="eastAsia" w:ascii="黑体" w:hAnsi="宋体" w:eastAsia="黑体" w:cs="黑体"/>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ind w:left="0" w:firstLine="0"/>
              <w:jc w:val="center"/>
              <w:rPr>
                <w:rFonts w:hint="default" w:ascii="Calibri" w:hAnsi="Calibri" w:eastAsia="Calibri" w:cs="Calibri"/>
                <w:sz w:val="21"/>
                <w:szCs w:val="21"/>
              </w:rPr>
            </w:pPr>
            <w:r>
              <w:rPr>
                <w:rFonts w:hint="eastAsia" w:ascii="宋体" w:hAnsi="宋体" w:eastAsia="宋体" w:cs="宋体"/>
                <w:color w:val="333333"/>
                <w:spacing w:val="0"/>
                <w:sz w:val="24"/>
                <w:szCs w:val="24"/>
              </w:rPr>
              <w:t>0</w:t>
            </w:r>
          </w:p>
        </w:tc>
      </w:tr>
    </w:tbl>
    <w:p>
      <w:pPr>
        <w:pStyle w:val="3"/>
        <w:keepNext w:val="0"/>
        <w:keepLines w:val="0"/>
        <w:widowControl/>
        <w:suppressLineNumbers w:val="0"/>
        <w:shd w:val="clear" w:fill="FFFFFF"/>
        <w:spacing w:before="0" w:beforeAutospacing="0" w:after="0" w:afterAutospacing="0"/>
        <w:ind w:left="0" w:right="0" w:firstLine="645"/>
        <w:jc w:val="both"/>
        <w:rPr>
          <w:rFonts w:hint="default" w:ascii="Calibri" w:hAnsi="Calibri" w:eastAsia="Calibri" w:cs="Calibri"/>
          <w:sz w:val="21"/>
          <w:szCs w:val="21"/>
        </w:rPr>
      </w:pPr>
      <w:r>
        <w:rPr>
          <w:rFonts w:hint="eastAsia" w:ascii="黑体" w:hAnsi="宋体" w:eastAsia="黑体" w:cs="黑体"/>
          <w:sz w:val="31"/>
          <w:szCs w:val="31"/>
          <w:shd w:val="clear" w:fill="FFFFFF"/>
        </w:rPr>
        <w:t>五、存在的主要问题及改进情况</w:t>
      </w:r>
    </w:p>
    <w:p>
      <w:pPr>
        <w:pStyle w:val="3"/>
        <w:keepNext w:val="0"/>
        <w:keepLines w:val="0"/>
        <w:widowControl/>
        <w:suppressLineNumbers w:val="0"/>
        <w:shd w:val="clear" w:fill="FFFFFF"/>
        <w:spacing w:before="0" w:beforeAutospacing="0" w:after="0" w:afterAutospacing="0" w:line="405" w:lineRule="atLeast"/>
        <w:ind w:left="0" w:right="0" w:firstLine="645"/>
        <w:rPr>
          <w:rFonts w:hint="default" w:ascii="Calibri" w:hAnsi="Calibri" w:eastAsia="Calibri" w:cs="Calibri"/>
          <w:sz w:val="21"/>
          <w:szCs w:val="21"/>
        </w:rPr>
      </w:pPr>
      <w:r>
        <w:rPr>
          <w:rFonts w:hint="eastAsia" w:ascii="仿宋_GB2312" w:hAnsi="Calibri" w:eastAsia="仿宋_GB2312" w:cs="仿宋_GB2312"/>
          <w:sz w:val="31"/>
          <w:szCs w:val="31"/>
          <w:shd w:val="clear" w:fill="FFFFFF"/>
        </w:rPr>
        <w:t>2021</w:t>
      </w:r>
      <w:r>
        <w:rPr>
          <w:rFonts w:hint="eastAsia" w:ascii="仿宋_GB2312" w:hAnsi="仿宋_GB2312" w:eastAsia="仿宋_GB2312" w:cs="仿宋_GB2312"/>
          <w:sz w:val="31"/>
          <w:szCs w:val="31"/>
          <w:shd w:val="clear" w:fill="FFFFFF"/>
        </w:rPr>
        <w:t>年，我县政务公开工作取得一定成效，但还是存在一些问题和不足。主要有：部分单位栏目内容维护工作还不到位，基层政务公开工作向村、社区等延伸和指导不够深入，主动公开政府信息的意识还需要提高，需要认识到政务公开工作在政府工作中的基础性和重要性。</w:t>
      </w:r>
    </w:p>
    <w:p>
      <w:pPr>
        <w:pStyle w:val="3"/>
        <w:keepNext w:val="0"/>
        <w:keepLines w:val="0"/>
        <w:widowControl/>
        <w:suppressLineNumbers w:val="0"/>
        <w:shd w:val="clear" w:fill="FFFFFF"/>
        <w:spacing w:before="0" w:beforeAutospacing="0" w:after="0" w:afterAutospacing="0" w:line="405" w:lineRule="atLeast"/>
        <w:ind w:left="0" w:right="0" w:firstLine="645"/>
        <w:rPr>
          <w:rFonts w:hint="default" w:ascii="Calibri" w:hAnsi="Calibri" w:eastAsia="Calibri" w:cs="Calibri"/>
          <w:sz w:val="21"/>
          <w:szCs w:val="21"/>
        </w:rPr>
      </w:pPr>
      <w:r>
        <w:rPr>
          <w:rFonts w:hint="eastAsia" w:ascii="仿宋_GB2312" w:hAnsi="仿宋_GB2312" w:eastAsia="仿宋_GB2312" w:cs="仿宋_GB2312"/>
          <w:sz w:val="31"/>
          <w:szCs w:val="31"/>
          <w:shd w:val="clear" w:fill="FFFFFF"/>
        </w:rPr>
        <w:t>针对以上问题，我县将具体做好以下三方面工作：</w:t>
      </w:r>
    </w:p>
    <w:p>
      <w:pPr>
        <w:pStyle w:val="3"/>
        <w:keepNext w:val="0"/>
        <w:keepLines w:val="0"/>
        <w:widowControl/>
        <w:suppressLineNumbers w:val="0"/>
        <w:shd w:val="clear" w:fill="FFFFFF"/>
        <w:spacing w:before="0" w:beforeAutospacing="0" w:after="0" w:afterAutospacing="0" w:line="405" w:lineRule="atLeast"/>
        <w:ind w:left="0" w:right="0" w:firstLine="645"/>
        <w:rPr>
          <w:rFonts w:hint="default" w:ascii="Calibri" w:hAnsi="Calibri" w:eastAsia="Calibri" w:cs="Calibri"/>
          <w:sz w:val="21"/>
          <w:szCs w:val="21"/>
        </w:rPr>
      </w:pPr>
      <w:r>
        <w:rPr>
          <w:rFonts w:hint="eastAsia" w:ascii="仿宋_GB2312" w:hAnsi="仿宋_GB2312" w:eastAsia="仿宋_GB2312" w:cs="仿宋_GB2312"/>
          <w:sz w:val="31"/>
          <w:szCs w:val="31"/>
          <w:shd w:val="clear" w:fill="FFFFFF"/>
        </w:rPr>
        <w:t>一是坚持巡检和抽检相结合，继续聘请第三方公司参与到日常监督检查工作，加强培训指导。</w:t>
      </w:r>
    </w:p>
    <w:p>
      <w:pPr>
        <w:pStyle w:val="3"/>
        <w:keepNext w:val="0"/>
        <w:keepLines w:val="0"/>
        <w:widowControl/>
        <w:suppressLineNumbers w:val="0"/>
        <w:shd w:val="clear" w:fill="FFFFFF"/>
        <w:spacing w:before="0" w:beforeAutospacing="0" w:after="0" w:afterAutospacing="0" w:line="405" w:lineRule="atLeast"/>
        <w:ind w:left="0" w:right="0" w:firstLine="645"/>
        <w:rPr>
          <w:rFonts w:hint="default" w:ascii="Calibri" w:hAnsi="Calibri" w:eastAsia="Calibri" w:cs="Calibri"/>
          <w:sz w:val="21"/>
          <w:szCs w:val="21"/>
        </w:rPr>
      </w:pPr>
      <w:r>
        <w:rPr>
          <w:rFonts w:hint="eastAsia" w:ascii="仿宋_GB2312" w:hAnsi="仿宋_GB2312" w:eastAsia="仿宋_GB2312" w:cs="仿宋_GB2312"/>
          <w:sz w:val="31"/>
          <w:szCs w:val="31"/>
          <w:shd w:val="clear" w:fill="FFFFFF"/>
        </w:rPr>
        <w:t>二是以全省“十县百乡”建设工作为契机，根据省、市的相关要求，推进和落实好工作任务，提升我县政务公开质量和水平；</w:t>
      </w:r>
    </w:p>
    <w:p>
      <w:pPr>
        <w:pStyle w:val="3"/>
        <w:keepNext w:val="0"/>
        <w:keepLines w:val="0"/>
        <w:widowControl/>
        <w:suppressLineNumbers w:val="0"/>
        <w:shd w:val="clear" w:fill="FFFFFF"/>
        <w:spacing w:before="0" w:beforeAutospacing="0" w:after="0" w:afterAutospacing="0" w:line="405" w:lineRule="atLeast"/>
        <w:ind w:left="0" w:right="0" w:firstLine="645"/>
        <w:rPr>
          <w:rFonts w:hint="default" w:ascii="Calibri" w:hAnsi="Calibri" w:eastAsia="Calibri" w:cs="Calibri"/>
          <w:sz w:val="21"/>
          <w:szCs w:val="21"/>
        </w:rPr>
      </w:pPr>
      <w:r>
        <w:rPr>
          <w:rFonts w:hint="eastAsia" w:ascii="仿宋_GB2312" w:hAnsi="仿宋_GB2312" w:eastAsia="仿宋_GB2312" w:cs="仿宋_GB2312"/>
          <w:sz w:val="31"/>
          <w:szCs w:val="31"/>
          <w:shd w:val="clear" w:fill="FFFFFF"/>
        </w:rPr>
        <w:t>三是加强常规工作的监督检查，加大常规工作在年终考核中的占比，推进政务公开工作常态化。</w:t>
      </w:r>
    </w:p>
    <w:p>
      <w:pPr>
        <w:pStyle w:val="3"/>
        <w:keepNext w:val="0"/>
        <w:keepLines w:val="0"/>
        <w:widowControl/>
        <w:suppressLineNumbers w:val="0"/>
        <w:shd w:val="clear" w:fill="FFFFFF"/>
        <w:spacing w:before="0" w:beforeAutospacing="0" w:after="0" w:afterAutospacing="0"/>
        <w:ind w:left="0" w:right="0" w:firstLine="645"/>
        <w:jc w:val="both"/>
        <w:rPr>
          <w:rFonts w:hint="default" w:ascii="Calibri" w:hAnsi="Calibri" w:eastAsia="Calibri" w:cs="Calibri"/>
          <w:sz w:val="21"/>
          <w:szCs w:val="21"/>
        </w:rPr>
      </w:pPr>
      <w:r>
        <w:rPr>
          <w:rFonts w:hint="eastAsia" w:ascii="黑体" w:hAnsi="宋体" w:eastAsia="黑体" w:cs="黑体"/>
          <w:sz w:val="31"/>
          <w:szCs w:val="31"/>
          <w:shd w:val="clear" w:fill="FFFFFF"/>
        </w:rPr>
        <w:t>六、其他需要报告的事项</w:t>
      </w:r>
    </w:p>
    <w:p>
      <w:pPr>
        <w:pStyle w:val="3"/>
        <w:keepNext w:val="0"/>
        <w:keepLines w:val="0"/>
        <w:widowControl/>
        <w:suppressLineNumbers w:val="0"/>
        <w:spacing w:before="0" w:beforeAutospacing="0" w:after="0" w:afterAutospacing="0"/>
        <w:ind w:left="0" w:right="0" w:firstLine="645"/>
        <w:jc w:val="both"/>
        <w:rPr>
          <w:rFonts w:hint="default" w:ascii="Calibri" w:hAnsi="Calibri" w:eastAsia="Calibri" w:cs="Calibri"/>
          <w:sz w:val="21"/>
          <w:szCs w:val="21"/>
        </w:rPr>
      </w:pPr>
      <w:r>
        <w:rPr>
          <w:rFonts w:hint="eastAsia" w:ascii="仿宋_GB2312" w:hAnsi="仿宋_GB2312" w:eastAsia="仿宋_GB2312" w:cs="仿宋_GB2312"/>
          <w:sz w:val="31"/>
          <w:szCs w:val="31"/>
        </w:rPr>
        <w:t>我县今年未发生收取信息处理费的情况。</w:t>
      </w:r>
    </w:p>
    <w:p>
      <w:pPr>
        <w:pStyle w:val="3"/>
        <w:keepNext w:val="0"/>
        <w:keepLines w:val="0"/>
        <w:widowControl/>
        <w:suppressLineNumbers w:val="0"/>
        <w:spacing w:before="0" w:beforeAutospacing="0" w:after="0" w:afterAutospacing="0"/>
        <w:ind w:left="0" w:right="0" w:firstLine="645"/>
        <w:jc w:val="both"/>
        <w:rPr>
          <w:rFonts w:hint="default" w:ascii="Calibri" w:hAnsi="Calibri" w:eastAsia="Calibri" w:cs="Calibri"/>
          <w:sz w:val="21"/>
          <w:szCs w:val="21"/>
        </w:rPr>
      </w:pPr>
      <w:r>
        <w:rPr>
          <w:rFonts w:hint="eastAsia" w:ascii="仿宋_GB2312" w:hAnsi="仿宋_GB2312" w:eastAsia="仿宋_GB2312" w:cs="仿宋_GB2312"/>
          <w:sz w:val="31"/>
          <w:szCs w:val="31"/>
        </w:rPr>
        <w:t>本年度无其他需要报告的事项。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00AA5"/>
    <w:rsid w:val="25D00AA5"/>
    <w:rsid w:val="48515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FollowedHyperlink"/>
    <w:basedOn w:val="5"/>
    <w:uiPriority w:val="0"/>
    <w:rPr>
      <w:color w:val="333333"/>
      <w:u w:val="none"/>
    </w:rPr>
  </w:style>
  <w:style w:type="character" w:styleId="8">
    <w:name w:val="Hyperlink"/>
    <w:basedOn w:val="5"/>
    <w:autoRedefine/>
    <w:qFormat/>
    <w:uiPriority w:val="0"/>
    <w:rPr>
      <w:color w:val="333333"/>
      <w:u w:val="none"/>
    </w:rPr>
  </w:style>
  <w:style w:type="character" w:customStyle="1" w:styleId="9">
    <w:name w:val="hover"/>
    <w:basedOn w:val="5"/>
    <w:autoRedefine/>
    <w:qFormat/>
    <w:uiPriority w:val="0"/>
    <w:rPr>
      <w:shd w:val="clear" w:fill="929292"/>
    </w:rPr>
  </w:style>
  <w:style w:type="character" w:customStyle="1" w:styleId="10">
    <w:name w:val="article-icon"/>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2022-07-19T10:30:00Z</dcterms:created>
  <dc:creator>信息办</dc:creator>
  <cp:lastModifiedBy>Administrator</cp:lastModifiedBy>
  <dcterms:modified xsi:type="dcterms:W3CDTF">2024-02-19T03:03:27Z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EEA07DD6917F4C64BEE1C68CE74A22DD_13</vt:lpwstr>
  </property>
</Properties>
</file>